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785AD3" w:rsidP="00785AD3">
      <w:pPr>
        <w:pStyle w:val="Sinespaciado"/>
        <w:tabs>
          <w:tab w:val="center" w:pos="5269"/>
          <w:tab w:val="left" w:pos="5895"/>
        </w:tabs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ab/>
      </w:r>
      <w:r w:rsidR="00DA02B1"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5567680</wp:posOffset>
                </wp:positionH>
                <wp:positionV relativeFrom="paragraph">
                  <wp:posOffset>-555625</wp:posOffset>
                </wp:positionV>
                <wp:extent cx="130492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A02B1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8.4pt;margin-top:-43.75pt;width:102.7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A02B1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b/>
          <w:bCs/>
          <w:lang w:val="es-MX"/>
        </w:rPr>
        <w:tab/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6A7555" w:rsidRPr="00E3176E" w:rsidRDefault="006A7555" w:rsidP="006A7555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31/05/2021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6A7555" w:rsidRPr="00B56AE5" w:rsidRDefault="006A7555" w:rsidP="006A7555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>
        <w:rPr>
          <w:rFonts w:ascii="Century Gothic" w:hAnsi="Century Gothic" w:cstheme="minorHAnsi"/>
          <w:sz w:val="22"/>
          <w:szCs w:val="22"/>
        </w:rPr>
        <w:t>-</w:t>
      </w:r>
      <w:bookmarkStart w:id="0" w:name="_GoBack"/>
      <w:bookmarkEnd w:id="0"/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sectPr w:rsidR="00DA02B1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D2" w:rsidRDefault="002132D2" w:rsidP="005B1EDE">
      <w:r>
        <w:separator/>
      </w:r>
    </w:p>
  </w:endnote>
  <w:endnote w:type="continuationSeparator" w:id="0">
    <w:p w:rsidR="002132D2" w:rsidRDefault="002132D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785AD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1304290</wp:posOffset>
              </wp:positionH>
              <wp:positionV relativeFrom="paragraph">
                <wp:posOffset>-97155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2.7pt;margin-top:-7.6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AmD793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D2" w:rsidRDefault="002132D2" w:rsidP="005B1EDE">
      <w:r>
        <w:separator/>
      </w:r>
    </w:p>
  </w:footnote>
  <w:footnote w:type="continuationSeparator" w:id="0">
    <w:p w:rsidR="002132D2" w:rsidRDefault="002132D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A1612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4CA53377" wp14:editId="78B43325">
          <wp:simplePos x="0" y="0"/>
          <wp:positionH relativeFrom="page">
            <wp:posOffset>-561975</wp:posOffset>
          </wp:positionH>
          <wp:positionV relativeFrom="paragraph">
            <wp:posOffset>-640715</wp:posOffset>
          </wp:positionV>
          <wp:extent cx="8315325" cy="102679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325" cy="1026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0653A" wp14:editId="02882609">
              <wp:simplePos x="0" y="0"/>
              <wp:positionH relativeFrom="column">
                <wp:posOffset>3329940</wp:posOffset>
              </wp:positionH>
              <wp:positionV relativeFrom="paragraph">
                <wp:posOffset>-11430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0653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62.2pt;margin-top:-.9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JD3i0PgAAAACQ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6FBD"/>
    <w:rsid w:val="00077D2B"/>
    <w:rsid w:val="00084058"/>
    <w:rsid w:val="000E1027"/>
    <w:rsid w:val="000F1B7D"/>
    <w:rsid w:val="0012416B"/>
    <w:rsid w:val="00131D13"/>
    <w:rsid w:val="001400D3"/>
    <w:rsid w:val="001905C1"/>
    <w:rsid w:val="001C2B51"/>
    <w:rsid w:val="001E4EEE"/>
    <w:rsid w:val="002132D2"/>
    <w:rsid w:val="0028116E"/>
    <w:rsid w:val="002826E3"/>
    <w:rsid w:val="00286D01"/>
    <w:rsid w:val="002B1F50"/>
    <w:rsid w:val="002C10F8"/>
    <w:rsid w:val="002C216A"/>
    <w:rsid w:val="00313E86"/>
    <w:rsid w:val="003376E8"/>
    <w:rsid w:val="00367391"/>
    <w:rsid w:val="00375B60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40EA"/>
    <w:rsid w:val="005C6112"/>
    <w:rsid w:val="005C647C"/>
    <w:rsid w:val="00637877"/>
    <w:rsid w:val="006619B7"/>
    <w:rsid w:val="00672D65"/>
    <w:rsid w:val="00681395"/>
    <w:rsid w:val="006A1612"/>
    <w:rsid w:val="006A7555"/>
    <w:rsid w:val="0072155A"/>
    <w:rsid w:val="00722912"/>
    <w:rsid w:val="007411A0"/>
    <w:rsid w:val="00741E06"/>
    <w:rsid w:val="0074255A"/>
    <w:rsid w:val="007456DD"/>
    <w:rsid w:val="007712DB"/>
    <w:rsid w:val="00785AD3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2FE2"/>
    <w:rsid w:val="00A341AE"/>
    <w:rsid w:val="00A35854"/>
    <w:rsid w:val="00A528B8"/>
    <w:rsid w:val="00A867ED"/>
    <w:rsid w:val="00AC2141"/>
    <w:rsid w:val="00AC34CC"/>
    <w:rsid w:val="00AE39C0"/>
    <w:rsid w:val="00AE437F"/>
    <w:rsid w:val="00AF5D1D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72A8"/>
    <w:rsid w:val="00D6213D"/>
    <w:rsid w:val="00D713A9"/>
    <w:rsid w:val="00D74B70"/>
    <w:rsid w:val="00D8456B"/>
    <w:rsid w:val="00DA02B1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7</cp:revision>
  <cp:lastPrinted>2021-07-05T18:56:00Z</cp:lastPrinted>
  <dcterms:created xsi:type="dcterms:W3CDTF">2021-06-17T21:19:00Z</dcterms:created>
  <dcterms:modified xsi:type="dcterms:W3CDTF">2021-07-05T20:46:00Z</dcterms:modified>
</cp:coreProperties>
</file>