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1796F9" w14:textId="77777777" w:rsidR="00DB4D89" w:rsidRPr="00DB4D89" w:rsidRDefault="00770A8F" w:rsidP="00DB4D89">
      <w:bookmarkStart w:id="0" w:name="_GoBack"/>
      <w:bookmarkEnd w:id="0"/>
      <w:r>
        <w:rPr>
          <w:noProof/>
          <w:lang w:eastAsia="es-GT"/>
        </w:rPr>
        <w:drawing>
          <wp:anchor distT="0" distB="0" distL="114300" distR="114300" simplePos="0" relativeHeight="251701248" behindDoc="1" locked="0" layoutInCell="1" allowOverlap="1" wp14:anchorId="67D0A0EC" wp14:editId="49BA5F37">
            <wp:simplePos x="0" y="0"/>
            <wp:positionH relativeFrom="column">
              <wp:posOffset>-1063625</wp:posOffset>
            </wp:positionH>
            <wp:positionV relativeFrom="paragraph">
              <wp:posOffset>-909320</wp:posOffset>
            </wp:positionV>
            <wp:extent cx="7772680" cy="10058400"/>
            <wp:effectExtent l="0" t="0" r="0" b="0"/>
            <wp:wrapNone/>
            <wp:docPr id="1041736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6247" name="Imagen 10417362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680" cy="10058400"/>
                    </a:xfrm>
                    <a:prstGeom prst="rect">
                      <a:avLst/>
                    </a:prstGeom>
                  </pic:spPr>
                </pic:pic>
              </a:graphicData>
            </a:graphic>
            <wp14:sizeRelH relativeFrom="page">
              <wp14:pctWidth>0</wp14:pctWidth>
            </wp14:sizeRelH>
            <wp14:sizeRelV relativeFrom="page">
              <wp14:pctHeight>0</wp14:pctHeight>
            </wp14:sizeRelV>
          </wp:anchor>
        </w:drawing>
      </w:r>
    </w:p>
    <w:p w14:paraId="0C07798B" w14:textId="77777777" w:rsidR="00770A8F" w:rsidRDefault="00770A8F" w:rsidP="007D6F1C">
      <w:pPr>
        <w:spacing w:after="160" w:line="259" w:lineRule="auto"/>
        <w:jc w:val="center"/>
        <w:rPr>
          <w:rFonts w:ascii="Montserrat" w:hAnsi="Montserrat"/>
          <w:b/>
          <w:color w:val="002E91"/>
          <w:sz w:val="50"/>
          <w:szCs w:val="50"/>
        </w:rPr>
      </w:pPr>
    </w:p>
    <w:p w14:paraId="15CE8DFC" w14:textId="77777777" w:rsidR="00770A8F" w:rsidRDefault="00770A8F" w:rsidP="007D6F1C">
      <w:pPr>
        <w:spacing w:after="160" w:line="259" w:lineRule="auto"/>
        <w:jc w:val="center"/>
        <w:rPr>
          <w:rFonts w:ascii="Montserrat" w:hAnsi="Montserrat"/>
          <w:b/>
          <w:color w:val="002E91"/>
          <w:sz w:val="50"/>
          <w:szCs w:val="50"/>
        </w:rPr>
      </w:pPr>
    </w:p>
    <w:p w14:paraId="3029B0C6" w14:textId="77777777" w:rsidR="00770A8F" w:rsidRDefault="00770A8F" w:rsidP="007D6F1C">
      <w:pPr>
        <w:spacing w:after="160" w:line="259" w:lineRule="auto"/>
        <w:jc w:val="center"/>
        <w:rPr>
          <w:rFonts w:ascii="Montserrat" w:hAnsi="Montserrat"/>
          <w:b/>
          <w:color w:val="002E91"/>
          <w:sz w:val="50"/>
          <w:szCs w:val="50"/>
        </w:rPr>
      </w:pPr>
    </w:p>
    <w:p w14:paraId="4A6F668F" w14:textId="77777777" w:rsidR="00770A8F" w:rsidRDefault="00770A8F" w:rsidP="007D6F1C">
      <w:pPr>
        <w:spacing w:after="160" w:line="259" w:lineRule="auto"/>
        <w:jc w:val="center"/>
        <w:rPr>
          <w:rFonts w:ascii="Montserrat" w:hAnsi="Montserrat"/>
          <w:b/>
          <w:color w:val="002E91"/>
          <w:sz w:val="50"/>
          <w:szCs w:val="50"/>
        </w:rPr>
      </w:pPr>
    </w:p>
    <w:p w14:paraId="2EBE527E" w14:textId="77777777" w:rsidR="00770A8F" w:rsidRDefault="00770A8F" w:rsidP="007D6F1C">
      <w:pPr>
        <w:spacing w:after="160" w:line="259" w:lineRule="auto"/>
        <w:jc w:val="center"/>
        <w:rPr>
          <w:rFonts w:ascii="Montserrat" w:hAnsi="Montserrat"/>
          <w:b/>
          <w:color w:val="002E91"/>
          <w:sz w:val="50"/>
          <w:szCs w:val="50"/>
        </w:rPr>
      </w:pPr>
    </w:p>
    <w:p w14:paraId="566F7DBE" w14:textId="77777777" w:rsidR="00770A8F" w:rsidRDefault="00770A8F" w:rsidP="007D6F1C">
      <w:pPr>
        <w:spacing w:after="160" w:line="259" w:lineRule="auto"/>
        <w:jc w:val="center"/>
        <w:rPr>
          <w:rFonts w:ascii="Montserrat" w:hAnsi="Montserrat"/>
          <w:b/>
          <w:color w:val="002E91"/>
          <w:sz w:val="50"/>
          <w:szCs w:val="50"/>
        </w:rPr>
      </w:pPr>
    </w:p>
    <w:p w14:paraId="0E37D74A" w14:textId="77777777" w:rsidR="00770A8F" w:rsidRDefault="00770A8F" w:rsidP="007D6F1C">
      <w:pPr>
        <w:spacing w:after="160" w:line="259" w:lineRule="auto"/>
        <w:jc w:val="center"/>
        <w:rPr>
          <w:rFonts w:ascii="Montserrat" w:hAnsi="Montserrat"/>
          <w:b/>
          <w:color w:val="002E91"/>
          <w:sz w:val="50"/>
          <w:szCs w:val="50"/>
        </w:rPr>
      </w:pPr>
    </w:p>
    <w:p w14:paraId="0F4AEFA1" w14:textId="77777777" w:rsidR="00770A8F" w:rsidRDefault="00770A8F" w:rsidP="007D6F1C">
      <w:pPr>
        <w:spacing w:after="160" w:line="259" w:lineRule="auto"/>
        <w:jc w:val="center"/>
        <w:rPr>
          <w:rFonts w:ascii="Montserrat" w:hAnsi="Montserrat"/>
          <w:b/>
          <w:color w:val="002E91"/>
          <w:sz w:val="50"/>
          <w:szCs w:val="50"/>
        </w:rPr>
      </w:pPr>
    </w:p>
    <w:p w14:paraId="48D79A60" w14:textId="77777777" w:rsidR="00770A8F" w:rsidRDefault="00770A8F" w:rsidP="007D6F1C">
      <w:pPr>
        <w:spacing w:after="160" w:line="259" w:lineRule="auto"/>
        <w:jc w:val="center"/>
        <w:rPr>
          <w:rFonts w:ascii="Montserrat" w:hAnsi="Montserrat"/>
          <w:b/>
          <w:color w:val="002E91"/>
          <w:sz w:val="50"/>
          <w:szCs w:val="50"/>
        </w:rPr>
      </w:pPr>
    </w:p>
    <w:p w14:paraId="124A3922" w14:textId="77777777" w:rsidR="00770A8F" w:rsidRDefault="00770A8F" w:rsidP="007D6F1C">
      <w:pPr>
        <w:spacing w:after="160" w:line="259" w:lineRule="auto"/>
        <w:jc w:val="center"/>
        <w:rPr>
          <w:rFonts w:ascii="Montserrat" w:hAnsi="Montserrat"/>
          <w:b/>
          <w:color w:val="002E91"/>
          <w:sz w:val="50"/>
          <w:szCs w:val="50"/>
        </w:rPr>
      </w:pPr>
    </w:p>
    <w:p w14:paraId="447E822D" w14:textId="77777777" w:rsidR="00770A8F" w:rsidRDefault="00770A8F" w:rsidP="007D6F1C">
      <w:pPr>
        <w:spacing w:after="160" w:line="259" w:lineRule="auto"/>
        <w:jc w:val="center"/>
        <w:rPr>
          <w:rFonts w:ascii="Montserrat" w:hAnsi="Montserrat"/>
          <w:b/>
          <w:color w:val="002E91"/>
          <w:sz w:val="50"/>
          <w:szCs w:val="50"/>
        </w:rPr>
      </w:pPr>
    </w:p>
    <w:p w14:paraId="4454D45C" w14:textId="77777777" w:rsidR="00770A8F" w:rsidRDefault="00770A8F" w:rsidP="007D6F1C">
      <w:pPr>
        <w:spacing w:after="160" w:line="259" w:lineRule="auto"/>
        <w:jc w:val="center"/>
        <w:rPr>
          <w:rFonts w:ascii="Montserrat" w:hAnsi="Montserrat"/>
          <w:b/>
          <w:color w:val="002E91"/>
          <w:sz w:val="50"/>
          <w:szCs w:val="50"/>
        </w:rPr>
      </w:pPr>
    </w:p>
    <w:p w14:paraId="0563A95D" w14:textId="77777777" w:rsidR="00770A8F" w:rsidRDefault="00770A8F" w:rsidP="007D6F1C">
      <w:pPr>
        <w:spacing w:after="160" w:line="259" w:lineRule="auto"/>
        <w:jc w:val="center"/>
        <w:rPr>
          <w:rFonts w:ascii="Montserrat" w:hAnsi="Montserrat"/>
          <w:b/>
          <w:color w:val="002E91"/>
          <w:sz w:val="50"/>
          <w:szCs w:val="50"/>
        </w:rPr>
      </w:pPr>
    </w:p>
    <w:p w14:paraId="5B650364" w14:textId="77777777" w:rsidR="00770A8F" w:rsidRDefault="006D410F" w:rsidP="007D6F1C">
      <w:pPr>
        <w:spacing w:after="160" w:line="259" w:lineRule="auto"/>
        <w:jc w:val="center"/>
        <w:rPr>
          <w:rFonts w:ascii="Montserrat" w:hAnsi="Montserrat"/>
          <w:b/>
          <w:color w:val="002E91"/>
          <w:sz w:val="50"/>
          <w:szCs w:val="50"/>
        </w:rPr>
      </w:pPr>
      <w:r>
        <w:rPr>
          <w:noProof/>
          <w:lang w:eastAsia="es-GT"/>
        </w:rPr>
        <w:drawing>
          <wp:anchor distT="0" distB="0" distL="114300" distR="114300" simplePos="0" relativeHeight="251692032" behindDoc="0" locked="0" layoutInCell="1" allowOverlap="1" wp14:anchorId="0DE3A6E3" wp14:editId="71860723">
            <wp:simplePos x="0" y="0"/>
            <wp:positionH relativeFrom="column">
              <wp:posOffset>1510665</wp:posOffset>
            </wp:positionH>
            <wp:positionV relativeFrom="paragraph">
              <wp:posOffset>832485</wp:posOffset>
            </wp:positionV>
            <wp:extent cx="1276350" cy="506095"/>
            <wp:effectExtent l="0" t="0" r="0" b="8255"/>
            <wp:wrapNone/>
            <wp:docPr id="61" name="Imagen 61"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10;&#10;Descripción generada automáticamente con confianza media"/>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6350" cy="506095"/>
                    </a:xfrm>
                    <a:prstGeom prst="rect">
                      <a:avLst/>
                    </a:prstGeom>
                  </pic:spPr>
                </pic:pic>
              </a:graphicData>
            </a:graphic>
          </wp:anchor>
        </w:drawing>
      </w:r>
      <w:r>
        <w:rPr>
          <w:noProof/>
          <w:lang w:eastAsia="es-GT"/>
        </w:rPr>
        <mc:AlternateContent>
          <mc:Choice Requires="wps">
            <w:drawing>
              <wp:anchor distT="0" distB="0" distL="114300" distR="114300" simplePos="0" relativeHeight="251693056" behindDoc="0" locked="0" layoutInCell="1" allowOverlap="1" wp14:anchorId="3DCCBE27" wp14:editId="72A7C27F">
                <wp:simplePos x="0" y="0"/>
                <wp:positionH relativeFrom="column">
                  <wp:posOffset>2815590</wp:posOffset>
                </wp:positionH>
                <wp:positionV relativeFrom="paragraph">
                  <wp:posOffset>775335</wp:posOffset>
                </wp:positionV>
                <wp:extent cx="1746885" cy="656590"/>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1746885" cy="656590"/>
                        </a:xfrm>
                        <a:prstGeom prst="rect">
                          <a:avLst/>
                        </a:prstGeom>
                        <a:noFill/>
                        <a:ln w="6350">
                          <a:noFill/>
                        </a:ln>
                      </wps:spPr>
                      <wps:txbx>
                        <w:txbxContent>
                          <w:p w14:paraId="0FFBF7DC" w14:textId="77777777" w:rsidR="00DB4D89" w:rsidRPr="00803B7C" w:rsidRDefault="00DB4D89" w:rsidP="00DB4D89">
                            <w:pPr>
                              <w:pStyle w:val="Prrafobsico"/>
                              <w:rPr>
                                <w:rFonts w:ascii="Montserrat SemiBold" w:eastAsiaTheme="minorEastAsia" w:hAnsi="Montserrat SemiBold" w:cs="Montserrat SemiBold"/>
                                <w:b/>
                                <w:bCs/>
                                <w:color w:val="12304A"/>
                                <w:sz w:val="18"/>
                                <w:szCs w:val="14"/>
                              </w:rPr>
                            </w:pPr>
                            <w:r w:rsidRPr="00803B7C">
                              <w:rPr>
                                <w:rFonts w:ascii="Montserrat SemiBold" w:eastAsiaTheme="minorEastAsia" w:hAnsi="Montserrat SemiBold" w:cs="Montserrat SemiBold"/>
                                <w:b/>
                                <w:bCs/>
                                <w:color w:val="12304A"/>
                                <w:sz w:val="18"/>
                                <w:szCs w:val="14"/>
                              </w:rPr>
                              <w:t>GOBERNACI</w:t>
                            </w:r>
                            <w:r w:rsidR="00803B7C" w:rsidRPr="00803B7C">
                              <w:rPr>
                                <w:rFonts w:ascii="Montserrat SemiBold" w:eastAsiaTheme="minorEastAsia" w:hAnsi="Montserrat SemiBold" w:cs="Montserrat SemiBold"/>
                                <w:b/>
                                <w:bCs/>
                                <w:color w:val="12304A"/>
                                <w:sz w:val="18"/>
                                <w:szCs w:val="14"/>
                              </w:rPr>
                              <w:t>Ó</w:t>
                            </w:r>
                            <w:r w:rsidR="002F11D2" w:rsidRPr="00803B7C">
                              <w:rPr>
                                <w:rFonts w:ascii="Montserrat SemiBold" w:eastAsiaTheme="minorEastAsia" w:hAnsi="Montserrat SemiBold" w:cs="Montserrat SemiBold"/>
                                <w:b/>
                                <w:bCs/>
                                <w:color w:val="12304A"/>
                                <w:sz w:val="18"/>
                                <w:szCs w:val="14"/>
                              </w:rPr>
                              <w:t>N</w:t>
                            </w:r>
                            <w:r w:rsidRPr="00803B7C">
                              <w:rPr>
                                <w:rFonts w:ascii="Montserrat SemiBold" w:eastAsiaTheme="minorEastAsia" w:hAnsi="Montserrat SemiBold" w:cs="Montserrat SemiBold"/>
                                <w:b/>
                                <w:bCs/>
                                <w:color w:val="12304A"/>
                                <w:sz w:val="18"/>
                                <w:szCs w:val="14"/>
                              </w:rPr>
                              <w:t xml:space="preserve"> DEPARTAMENTAL</w:t>
                            </w:r>
                            <w:r w:rsidR="002F11D2" w:rsidRPr="00803B7C">
                              <w:rPr>
                                <w:rFonts w:ascii="Montserrat SemiBold" w:eastAsiaTheme="minorEastAsia" w:hAnsi="Montserrat SemiBold" w:cs="Montserrat SemiBold"/>
                                <w:b/>
                                <w:bCs/>
                                <w:color w:val="12304A"/>
                                <w:sz w:val="18"/>
                                <w:szCs w:val="14"/>
                              </w:rPr>
                              <w:br/>
                            </w:r>
                            <w:r w:rsidRPr="00803B7C">
                              <w:rPr>
                                <w:rFonts w:ascii="Montserrat SemiBold" w:eastAsiaTheme="minorEastAsia" w:hAnsi="Montserrat SemiBold" w:cs="Montserrat SemiBold"/>
                                <w:b/>
                                <w:bCs/>
                                <w:color w:val="12304A"/>
                                <w:sz w:val="18"/>
                                <w:szCs w:val="14"/>
                              </w:rPr>
                              <w:t xml:space="preserve">DE </w:t>
                            </w:r>
                            <w:r w:rsidR="00C92ADC">
                              <w:rPr>
                                <w:rFonts w:ascii="Montserrat SemiBold" w:eastAsiaTheme="minorEastAsia" w:hAnsi="Montserrat SemiBold" w:cs="Montserrat SemiBold"/>
                                <w:b/>
                                <w:bCs/>
                                <w:color w:val="12304A"/>
                                <w:sz w:val="18"/>
                                <w:szCs w:val="14"/>
                              </w:rPr>
                              <w:t>SACATEPÉQUEZ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606BA5" id="_x0000_t202" coordsize="21600,21600" o:spt="202" path="m,l,21600r21600,l21600,xe">
                <v:stroke joinstyle="miter"/>
                <v:path gradientshapeok="t" o:connecttype="rect"/>
              </v:shapetype>
              <v:shape id="Cuadro de texto 62" o:spid="_x0000_s1026" type="#_x0000_t202" style="position:absolute;left:0;text-align:left;margin-left:221.7pt;margin-top:61.05pt;width:137.55pt;height:51.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" filled="f" stroked="f" strokeweight=".5pt">
                <v:textbox>
                  <w:txbxContent>
                    <w:p w:rsidR="00DB4D89" w:rsidRPr="00803B7C" w:rsidRDefault="00DB4D89" w:rsidP="00DB4D89">
                      <w:pPr>
                        <w:pStyle w:val="Prrafobsico"/>
                        <w:rPr>
                          <w:rFonts w:ascii="Montserrat SemiBold" w:eastAsiaTheme="minorEastAsia" w:hAnsi="Montserrat SemiBold" w:cs="Montserrat SemiBold"/>
                          <w:b/>
                          <w:bCs/>
                          <w:color w:val="12304A"/>
                          <w:sz w:val="18"/>
                          <w:szCs w:val="14"/>
                        </w:rPr>
                      </w:pPr>
                      <w:r w:rsidRPr="00803B7C">
                        <w:rPr>
                          <w:rFonts w:ascii="Montserrat SemiBold" w:eastAsiaTheme="minorEastAsia" w:hAnsi="Montserrat SemiBold" w:cs="Montserrat SemiBold"/>
                          <w:b/>
                          <w:bCs/>
                          <w:color w:val="12304A"/>
                          <w:sz w:val="18"/>
                          <w:szCs w:val="14"/>
                        </w:rPr>
                        <w:t>GOBERNACI</w:t>
                      </w:r>
                      <w:r w:rsidR="00803B7C" w:rsidRPr="00803B7C">
                        <w:rPr>
                          <w:rFonts w:ascii="Montserrat SemiBold" w:eastAsiaTheme="minorEastAsia" w:hAnsi="Montserrat SemiBold" w:cs="Montserrat SemiBold"/>
                          <w:b/>
                          <w:bCs/>
                          <w:color w:val="12304A"/>
                          <w:sz w:val="18"/>
                          <w:szCs w:val="14"/>
                        </w:rPr>
                        <w:t>Ó</w:t>
                      </w:r>
                      <w:r w:rsidR="002F11D2" w:rsidRPr="00803B7C">
                        <w:rPr>
                          <w:rFonts w:ascii="Montserrat SemiBold" w:eastAsiaTheme="minorEastAsia" w:hAnsi="Montserrat SemiBold" w:cs="Montserrat SemiBold"/>
                          <w:b/>
                          <w:bCs/>
                          <w:color w:val="12304A"/>
                          <w:sz w:val="18"/>
                          <w:szCs w:val="14"/>
                        </w:rPr>
                        <w:t>N</w:t>
                      </w:r>
                      <w:r w:rsidRPr="00803B7C">
                        <w:rPr>
                          <w:rFonts w:ascii="Montserrat SemiBold" w:eastAsiaTheme="minorEastAsia" w:hAnsi="Montserrat SemiBold" w:cs="Montserrat SemiBold"/>
                          <w:b/>
                          <w:bCs/>
                          <w:color w:val="12304A"/>
                          <w:sz w:val="18"/>
                          <w:szCs w:val="14"/>
                        </w:rPr>
                        <w:t xml:space="preserve"> DEPARTAMENTAL</w:t>
                      </w:r>
                      <w:r w:rsidR="002F11D2" w:rsidRPr="00803B7C">
                        <w:rPr>
                          <w:rFonts w:ascii="Montserrat SemiBold" w:eastAsiaTheme="minorEastAsia" w:hAnsi="Montserrat SemiBold" w:cs="Montserrat SemiBold"/>
                          <w:b/>
                          <w:bCs/>
                          <w:color w:val="12304A"/>
                          <w:sz w:val="18"/>
                          <w:szCs w:val="14"/>
                        </w:rPr>
                        <w:br/>
                      </w:r>
                      <w:r w:rsidRPr="00803B7C">
                        <w:rPr>
                          <w:rFonts w:ascii="Montserrat SemiBold" w:eastAsiaTheme="minorEastAsia" w:hAnsi="Montserrat SemiBold" w:cs="Montserrat SemiBold"/>
                          <w:b/>
                          <w:bCs/>
                          <w:color w:val="12304A"/>
                          <w:sz w:val="18"/>
                          <w:szCs w:val="14"/>
                        </w:rPr>
                        <w:t xml:space="preserve">DE </w:t>
                      </w:r>
                      <w:r w:rsidR="00C92ADC">
                        <w:rPr>
                          <w:rFonts w:ascii="Montserrat SemiBold" w:eastAsiaTheme="minorEastAsia" w:hAnsi="Montserrat SemiBold" w:cs="Montserrat SemiBold"/>
                          <w:b/>
                          <w:bCs/>
                          <w:color w:val="12304A"/>
                          <w:sz w:val="18"/>
                          <w:szCs w:val="14"/>
                        </w:rPr>
                        <w:t>SACATEPÉQUEZ</w:t>
                      </w:r>
                    </w:p>
                  </w:txbxContent>
                </v:textbox>
              </v:shape>
            </w:pict>
          </mc:Fallback>
        </mc:AlternateContent>
      </w:r>
      <w:r>
        <w:rPr>
          <w:noProof/>
          <w:lang w:eastAsia="es-GT"/>
        </w:rPr>
        <mc:AlternateContent>
          <mc:Choice Requires="wps">
            <w:drawing>
              <wp:anchor distT="0" distB="0" distL="114300" distR="114300" simplePos="0" relativeHeight="251691007" behindDoc="0" locked="0" layoutInCell="1" allowOverlap="1" wp14:anchorId="28DD644B" wp14:editId="505D6949">
                <wp:simplePos x="0" y="0"/>
                <wp:positionH relativeFrom="margin">
                  <wp:posOffset>1272540</wp:posOffset>
                </wp:positionH>
                <wp:positionV relativeFrom="paragraph">
                  <wp:posOffset>727075</wp:posOffset>
                </wp:positionV>
                <wp:extent cx="3289935" cy="727075"/>
                <wp:effectExtent l="0" t="0" r="5715" b="0"/>
                <wp:wrapNone/>
                <wp:docPr id="952595063"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9093BD9" id="Rectángulo redondeado 2" o:spid="_x0000_s1026" style="position:absolute;margin-left:100.2pt;margin-top:57.25pt;width:259.05pt;height:57.25pt;z-index:25169100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" fillcolor="white [3212]" stroked="f" strokeweight="1pt">
                <v:stroke joinstyle="miter"/>
                <w10:wrap anchorx="margin"/>
              </v:roundrect>
            </w:pict>
          </mc:Fallback>
        </mc:AlternateContent>
      </w:r>
    </w:p>
    <w:p w14:paraId="4D3FEC6B" w14:textId="77777777" w:rsidR="00906BF1" w:rsidRPr="0056176F" w:rsidRDefault="0056176F" w:rsidP="007D6F1C">
      <w:pPr>
        <w:spacing w:after="160" w:line="259" w:lineRule="auto"/>
        <w:jc w:val="center"/>
        <w:rPr>
          <w:rFonts w:ascii="Montserrat" w:hAnsi="Montserrat"/>
          <w:b/>
          <w:color w:val="002E91"/>
          <w:sz w:val="50"/>
          <w:szCs w:val="50"/>
        </w:rPr>
      </w:pPr>
      <w:r w:rsidRPr="0056176F">
        <w:rPr>
          <w:rFonts w:ascii="Montserrat" w:hAnsi="Montserrat"/>
          <w:b/>
          <w:color w:val="002E91"/>
          <w:sz w:val="50"/>
          <w:szCs w:val="50"/>
        </w:rPr>
        <w:t>ÍNDICE</w:t>
      </w:r>
    </w:p>
    <w:p w14:paraId="285D9D97" w14:textId="77777777" w:rsidR="00042FFD" w:rsidRPr="00064CF7" w:rsidRDefault="00042FFD" w:rsidP="007D6F1C">
      <w:pPr>
        <w:spacing w:after="160" w:line="259" w:lineRule="auto"/>
        <w:jc w:val="center"/>
        <w:rPr>
          <w:b/>
        </w:rPr>
      </w:pPr>
    </w:p>
    <w:sdt>
      <w:sdtPr>
        <w:rPr>
          <w:sz w:val="22"/>
          <w:lang w:val="es-ES"/>
        </w:rPr>
        <w:id w:val="620802292"/>
        <w:docPartObj>
          <w:docPartGallery w:val="Table of Contents"/>
          <w:docPartUnique/>
        </w:docPartObj>
      </w:sdtPr>
      <w:sdtEndPr>
        <w:rPr>
          <w:b/>
          <w:bCs/>
        </w:rPr>
      </w:sdtEndPr>
      <w:sdtContent>
        <w:p w14:paraId="2A735FBB" w14:textId="77777777" w:rsidR="00EF5A0C" w:rsidRDefault="00906BF1">
          <w:pPr>
            <w:pStyle w:val="TDC1"/>
            <w:tabs>
              <w:tab w:val="right" w:leader="dot" w:pos="8828"/>
            </w:tabs>
            <w:rPr>
              <w:rFonts w:asciiTheme="minorHAnsi" w:eastAsiaTheme="minorEastAsia" w:hAnsiTheme="minorHAnsi"/>
              <w:noProof/>
              <w:sz w:val="22"/>
              <w:lang w:eastAsia="es-GT"/>
            </w:rPr>
          </w:pPr>
          <w:r w:rsidRPr="00AD772D">
            <w:rPr>
              <w:b/>
              <w:bCs/>
              <w:sz w:val="22"/>
              <w:lang w:val="es-ES"/>
            </w:rPr>
            <w:fldChar w:fldCharType="begin"/>
          </w:r>
          <w:r w:rsidRPr="00AD772D">
            <w:rPr>
              <w:b/>
              <w:bCs/>
              <w:sz w:val="22"/>
              <w:lang w:val="es-ES"/>
            </w:rPr>
            <w:instrText xml:space="preserve"> TOC \o "1-3" \h \z \u </w:instrText>
          </w:r>
          <w:r w:rsidRPr="00AD772D">
            <w:rPr>
              <w:b/>
              <w:bCs/>
              <w:sz w:val="22"/>
              <w:lang w:val="es-ES"/>
            </w:rPr>
            <w:fldChar w:fldCharType="separate"/>
          </w:r>
          <w:hyperlink w:anchor="_Toc133916089" w:history="1">
            <w:r w:rsidR="00EF5A0C" w:rsidRPr="006C1D01">
              <w:rPr>
                <w:rStyle w:val="Hipervnculo"/>
                <w:noProof/>
              </w:rPr>
              <w:t>INTRODUCCIÓN</w:t>
            </w:r>
            <w:r w:rsidR="00EF5A0C">
              <w:rPr>
                <w:noProof/>
                <w:webHidden/>
              </w:rPr>
              <w:tab/>
            </w:r>
            <w:r w:rsidR="00EF5A0C">
              <w:rPr>
                <w:noProof/>
                <w:webHidden/>
              </w:rPr>
              <w:fldChar w:fldCharType="begin"/>
            </w:r>
            <w:r w:rsidR="00EF5A0C">
              <w:rPr>
                <w:noProof/>
                <w:webHidden/>
              </w:rPr>
              <w:instrText xml:space="preserve"> PAGEREF _Toc133916089 \h </w:instrText>
            </w:r>
            <w:r w:rsidR="00EF5A0C">
              <w:rPr>
                <w:noProof/>
                <w:webHidden/>
              </w:rPr>
            </w:r>
            <w:r w:rsidR="00EF5A0C">
              <w:rPr>
                <w:noProof/>
                <w:webHidden/>
              </w:rPr>
              <w:fldChar w:fldCharType="separate"/>
            </w:r>
            <w:r w:rsidR="005D1C58">
              <w:rPr>
                <w:noProof/>
                <w:webHidden/>
              </w:rPr>
              <w:t>i</w:t>
            </w:r>
            <w:r w:rsidR="00EF5A0C">
              <w:rPr>
                <w:noProof/>
                <w:webHidden/>
              </w:rPr>
              <w:fldChar w:fldCharType="end"/>
            </w:r>
          </w:hyperlink>
        </w:p>
        <w:p w14:paraId="272C536A"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0" w:history="1">
            <w:r w:rsidR="00EF5A0C" w:rsidRPr="006C1D01">
              <w:rPr>
                <w:rStyle w:val="Hipervnculo"/>
                <w:noProof/>
              </w:rPr>
              <w:t>1.</w:t>
            </w:r>
            <w:r w:rsidR="00EF5A0C">
              <w:rPr>
                <w:rFonts w:asciiTheme="minorHAnsi" w:eastAsiaTheme="minorEastAsia" w:hAnsiTheme="minorHAnsi"/>
                <w:noProof/>
                <w:sz w:val="22"/>
                <w:lang w:eastAsia="es-GT"/>
              </w:rPr>
              <w:tab/>
            </w:r>
            <w:r w:rsidR="00EF5A0C" w:rsidRPr="006C1D01">
              <w:rPr>
                <w:rStyle w:val="Hipervnculo"/>
                <w:rFonts w:eastAsia="Montserrat" w:cs="Arial"/>
                <w:noProof/>
              </w:rPr>
              <w:t>P</w:t>
            </w:r>
            <w:r w:rsidR="00EF5A0C" w:rsidRPr="006C1D01">
              <w:rPr>
                <w:rStyle w:val="Hipervnculo"/>
                <w:rFonts w:cs="Arial"/>
                <w:noProof/>
              </w:rPr>
              <w:t>rincipales funciones y atribuciones de la Gobernación Departamental de Sacatepéquez</w:t>
            </w:r>
            <w:r w:rsidR="00EF5A0C">
              <w:rPr>
                <w:noProof/>
                <w:webHidden/>
              </w:rPr>
              <w:tab/>
            </w:r>
            <w:r w:rsidR="00EF5A0C">
              <w:rPr>
                <w:noProof/>
                <w:webHidden/>
              </w:rPr>
              <w:fldChar w:fldCharType="begin"/>
            </w:r>
            <w:r w:rsidR="00EF5A0C">
              <w:rPr>
                <w:noProof/>
                <w:webHidden/>
              </w:rPr>
              <w:instrText xml:space="preserve"> PAGEREF _Toc133916090 \h </w:instrText>
            </w:r>
            <w:r w:rsidR="00EF5A0C">
              <w:rPr>
                <w:noProof/>
                <w:webHidden/>
              </w:rPr>
            </w:r>
            <w:r w:rsidR="00EF5A0C">
              <w:rPr>
                <w:noProof/>
                <w:webHidden/>
              </w:rPr>
              <w:fldChar w:fldCharType="separate"/>
            </w:r>
            <w:r w:rsidR="005D1C58">
              <w:rPr>
                <w:noProof/>
                <w:webHidden/>
              </w:rPr>
              <w:t>i</w:t>
            </w:r>
            <w:r w:rsidR="00EF5A0C">
              <w:rPr>
                <w:noProof/>
                <w:webHidden/>
              </w:rPr>
              <w:fldChar w:fldCharType="end"/>
            </w:r>
          </w:hyperlink>
        </w:p>
        <w:p w14:paraId="6A88D21C"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1" w:history="1">
            <w:r w:rsidR="00EF5A0C" w:rsidRPr="006C1D01">
              <w:rPr>
                <w:rStyle w:val="Hipervnculo"/>
                <w:noProof/>
              </w:rPr>
              <w:t>2.</w:t>
            </w:r>
            <w:r w:rsidR="00EF5A0C">
              <w:rPr>
                <w:rFonts w:asciiTheme="minorHAnsi" w:eastAsiaTheme="minorEastAsia" w:hAnsiTheme="minorHAnsi"/>
                <w:noProof/>
                <w:sz w:val="22"/>
                <w:lang w:eastAsia="es-GT"/>
              </w:rPr>
              <w:tab/>
            </w:r>
            <w:r w:rsidR="00EF5A0C" w:rsidRPr="006C1D01">
              <w:rPr>
                <w:rStyle w:val="Hipervnculo"/>
                <w:noProof/>
              </w:rPr>
              <w:t>Principales objetivos de la Gobernación Departamental</w:t>
            </w:r>
            <w:r w:rsidR="00EF5A0C">
              <w:rPr>
                <w:noProof/>
                <w:webHidden/>
              </w:rPr>
              <w:tab/>
            </w:r>
            <w:r w:rsidR="00EF5A0C">
              <w:rPr>
                <w:noProof/>
                <w:webHidden/>
              </w:rPr>
              <w:fldChar w:fldCharType="begin"/>
            </w:r>
            <w:r w:rsidR="00EF5A0C">
              <w:rPr>
                <w:noProof/>
                <w:webHidden/>
              </w:rPr>
              <w:instrText xml:space="preserve"> PAGEREF _Toc133916091 \h </w:instrText>
            </w:r>
            <w:r w:rsidR="00EF5A0C">
              <w:rPr>
                <w:noProof/>
                <w:webHidden/>
              </w:rPr>
            </w:r>
            <w:r w:rsidR="00EF5A0C">
              <w:rPr>
                <w:noProof/>
                <w:webHidden/>
              </w:rPr>
              <w:fldChar w:fldCharType="separate"/>
            </w:r>
            <w:r w:rsidR="005D1C58">
              <w:rPr>
                <w:noProof/>
                <w:webHidden/>
              </w:rPr>
              <w:t>i</w:t>
            </w:r>
            <w:r w:rsidR="00EF5A0C">
              <w:rPr>
                <w:noProof/>
                <w:webHidden/>
              </w:rPr>
              <w:fldChar w:fldCharType="end"/>
            </w:r>
          </w:hyperlink>
        </w:p>
        <w:p w14:paraId="1DF17CC0" w14:textId="77777777" w:rsidR="00EF5A0C" w:rsidRDefault="00CE0B9D">
          <w:pPr>
            <w:pStyle w:val="TDC1"/>
            <w:tabs>
              <w:tab w:val="right" w:leader="dot" w:pos="8828"/>
            </w:tabs>
            <w:rPr>
              <w:rFonts w:asciiTheme="minorHAnsi" w:eastAsiaTheme="minorEastAsia" w:hAnsiTheme="minorHAnsi"/>
              <w:noProof/>
              <w:sz w:val="22"/>
              <w:lang w:eastAsia="es-GT"/>
            </w:rPr>
          </w:pPr>
          <w:hyperlink w:anchor="_Toc133916092" w:history="1">
            <w:r w:rsidR="00EF5A0C" w:rsidRPr="006C1D01">
              <w:rPr>
                <w:rStyle w:val="Hipervnculo"/>
                <w:rFonts w:eastAsia="Montserrat" w:cs="Arial"/>
                <w:noProof/>
              </w:rPr>
              <w:t>PARTE GENERAL: EJECUCIÓN PRESUPUESTARIA</w:t>
            </w:r>
            <w:r w:rsidR="00EF5A0C">
              <w:rPr>
                <w:noProof/>
                <w:webHidden/>
              </w:rPr>
              <w:tab/>
            </w:r>
            <w:r w:rsidR="00EF5A0C">
              <w:rPr>
                <w:noProof/>
                <w:webHidden/>
              </w:rPr>
              <w:fldChar w:fldCharType="begin"/>
            </w:r>
            <w:r w:rsidR="00EF5A0C">
              <w:rPr>
                <w:noProof/>
                <w:webHidden/>
              </w:rPr>
              <w:instrText xml:space="preserve"> PAGEREF _Toc133916092 \h </w:instrText>
            </w:r>
            <w:r w:rsidR="00EF5A0C">
              <w:rPr>
                <w:noProof/>
                <w:webHidden/>
              </w:rPr>
            </w:r>
            <w:r w:rsidR="00EF5A0C">
              <w:rPr>
                <w:noProof/>
                <w:webHidden/>
              </w:rPr>
              <w:fldChar w:fldCharType="separate"/>
            </w:r>
            <w:r w:rsidR="005D1C58">
              <w:rPr>
                <w:noProof/>
                <w:webHidden/>
              </w:rPr>
              <w:t>1</w:t>
            </w:r>
            <w:r w:rsidR="00EF5A0C">
              <w:rPr>
                <w:noProof/>
                <w:webHidden/>
              </w:rPr>
              <w:fldChar w:fldCharType="end"/>
            </w:r>
          </w:hyperlink>
        </w:p>
        <w:p w14:paraId="544B9FE6"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3" w:history="1">
            <w:r w:rsidR="00EF5A0C" w:rsidRPr="006C1D01">
              <w:rPr>
                <w:rStyle w:val="Hipervnculo"/>
                <w:rFonts w:eastAsia="Montserrat" w:cs="Arial"/>
                <w:noProof/>
              </w:rPr>
              <w:t>3.</w:t>
            </w:r>
            <w:r w:rsidR="00EF5A0C">
              <w:rPr>
                <w:rFonts w:asciiTheme="minorHAnsi" w:eastAsiaTheme="minorEastAsia" w:hAnsiTheme="minorHAnsi"/>
                <w:noProof/>
                <w:sz w:val="22"/>
                <w:lang w:eastAsia="es-GT"/>
              </w:rPr>
              <w:tab/>
            </w:r>
            <w:r w:rsidR="00EF5A0C" w:rsidRPr="006C1D01">
              <w:rPr>
                <w:rStyle w:val="Hipervnculo"/>
                <w:rFonts w:eastAsia="Montserrat" w:cs="Arial"/>
                <w:noProof/>
              </w:rPr>
              <w:t>Gráfica y descripción del presupuesto asignado, vigente, ejecutado y saldo por ejecutar de la entidad</w:t>
            </w:r>
            <w:r w:rsidR="00EF5A0C">
              <w:rPr>
                <w:noProof/>
                <w:webHidden/>
              </w:rPr>
              <w:tab/>
            </w:r>
            <w:r w:rsidR="00EF5A0C">
              <w:rPr>
                <w:noProof/>
                <w:webHidden/>
              </w:rPr>
              <w:fldChar w:fldCharType="begin"/>
            </w:r>
            <w:r w:rsidR="00EF5A0C">
              <w:rPr>
                <w:noProof/>
                <w:webHidden/>
              </w:rPr>
              <w:instrText xml:space="preserve"> PAGEREF _Toc133916093 \h </w:instrText>
            </w:r>
            <w:r w:rsidR="00EF5A0C">
              <w:rPr>
                <w:noProof/>
                <w:webHidden/>
              </w:rPr>
            </w:r>
            <w:r w:rsidR="00EF5A0C">
              <w:rPr>
                <w:noProof/>
                <w:webHidden/>
              </w:rPr>
              <w:fldChar w:fldCharType="separate"/>
            </w:r>
            <w:r w:rsidR="005D1C58">
              <w:rPr>
                <w:noProof/>
                <w:webHidden/>
              </w:rPr>
              <w:t>1</w:t>
            </w:r>
            <w:r w:rsidR="00EF5A0C">
              <w:rPr>
                <w:noProof/>
                <w:webHidden/>
              </w:rPr>
              <w:fldChar w:fldCharType="end"/>
            </w:r>
          </w:hyperlink>
        </w:p>
        <w:p w14:paraId="744225B3"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4" w:history="1">
            <w:r w:rsidR="00EF5A0C" w:rsidRPr="006C1D01">
              <w:rPr>
                <w:rStyle w:val="Hipervnculo"/>
                <w:rFonts w:eastAsia="Montserrat" w:cs="Arial"/>
                <w:noProof/>
              </w:rPr>
              <w:t>4.</w:t>
            </w:r>
            <w:r w:rsidR="00EF5A0C">
              <w:rPr>
                <w:rFonts w:asciiTheme="minorHAnsi" w:eastAsiaTheme="minorEastAsia" w:hAnsiTheme="minorHAnsi"/>
                <w:noProof/>
                <w:sz w:val="22"/>
                <w:lang w:eastAsia="es-GT"/>
              </w:rPr>
              <w:tab/>
            </w:r>
            <w:r w:rsidR="00EF5A0C" w:rsidRPr="006C1D01">
              <w:rPr>
                <w:rStyle w:val="Hipervnculo"/>
                <w:rFonts w:eastAsia="Montserrat" w:cs="Arial"/>
                <w:noProof/>
              </w:rPr>
              <w:t>Gráfica y descripción del porcentaje de ejecución</w:t>
            </w:r>
            <w:r w:rsidR="00EF5A0C">
              <w:rPr>
                <w:noProof/>
                <w:webHidden/>
              </w:rPr>
              <w:tab/>
            </w:r>
            <w:r w:rsidR="00EF5A0C">
              <w:rPr>
                <w:noProof/>
                <w:webHidden/>
              </w:rPr>
              <w:fldChar w:fldCharType="begin"/>
            </w:r>
            <w:r w:rsidR="00EF5A0C">
              <w:rPr>
                <w:noProof/>
                <w:webHidden/>
              </w:rPr>
              <w:instrText xml:space="preserve"> PAGEREF _Toc133916094 \h </w:instrText>
            </w:r>
            <w:r w:rsidR="00EF5A0C">
              <w:rPr>
                <w:noProof/>
                <w:webHidden/>
              </w:rPr>
            </w:r>
            <w:r w:rsidR="00EF5A0C">
              <w:rPr>
                <w:noProof/>
                <w:webHidden/>
              </w:rPr>
              <w:fldChar w:fldCharType="separate"/>
            </w:r>
            <w:r w:rsidR="005D1C58">
              <w:rPr>
                <w:noProof/>
                <w:webHidden/>
              </w:rPr>
              <w:t>1</w:t>
            </w:r>
            <w:r w:rsidR="00EF5A0C">
              <w:rPr>
                <w:noProof/>
                <w:webHidden/>
              </w:rPr>
              <w:fldChar w:fldCharType="end"/>
            </w:r>
          </w:hyperlink>
        </w:p>
        <w:p w14:paraId="28AD3A7E"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5" w:history="1">
            <w:r w:rsidR="00EF5A0C" w:rsidRPr="006C1D01">
              <w:rPr>
                <w:rStyle w:val="Hipervnculo"/>
                <w:rFonts w:eastAsia="Montserrat" w:cs="Arial"/>
                <w:noProof/>
              </w:rPr>
              <w:t>5.</w:t>
            </w:r>
            <w:r w:rsidR="00EF5A0C">
              <w:rPr>
                <w:rFonts w:asciiTheme="minorHAnsi" w:eastAsiaTheme="minorEastAsia" w:hAnsiTheme="minorHAnsi"/>
                <w:noProof/>
                <w:sz w:val="22"/>
                <w:lang w:eastAsia="es-GT"/>
              </w:rPr>
              <w:tab/>
            </w:r>
            <w:r w:rsidR="00EF5A0C" w:rsidRPr="006C1D01">
              <w:rPr>
                <w:rStyle w:val="Hipervnculo"/>
                <w:rFonts w:eastAsia="Montserrat" w:cs="Arial"/>
                <w:noProof/>
              </w:rPr>
              <w:t>Gráfica y descripción del presupuesto asignado, vigente, ejecutado y saldo por ejecutar por grupo de gasto.</w:t>
            </w:r>
            <w:r w:rsidR="00EF5A0C">
              <w:rPr>
                <w:noProof/>
                <w:webHidden/>
              </w:rPr>
              <w:tab/>
            </w:r>
            <w:r w:rsidR="00EF5A0C">
              <w:rPr>
                <w:noProof/>
                <w:webHidden/>
              </w:rPr>
              <w:fldChar w:fldCharType="begin"/>
            </w:r>
            <w:r w:rsidR="00EF5A0C">
              <w:rPr>
                <w:noProof/>
                <w:webHidden/>
              </w:rPr>
              <w:instrText xml:space="preserve"> PAGEREF _Toc133916095 \h </w:instrText>
            </w:r>
            <w:r w:rsidR="00EF5A0C">
              <w:rPr>
                <w:noProof/>
                <w:webHidden/>
              </w:rPr>
            </w:r>
            <w:r w:rsidR="00EF5A0C">
              <w:rPr>
                <w:noProof/>
                <w:webHidden/>
              </w:rPr>
              <w:fldChar w:fldCharType="separate"/>
            </w:r>
            <w:r w:rsidR="005D1C58">
              <w:rPr>
                <w:noProof/>
                <w:webHidden/>
              </w:rPr>
              <w:t>2</w:t>
            </w:r>
            <w:r w:rsidR="00EF5A0C">
              <w:rPr>
                <w:noProof/>
                <w:webHidden/>
              </w:rPr>
              <w:fldChar w:fldCharType="end"/>
            </w:r>
          </w:hyperlink>
        </w:p>
        <w:p w14:paraId="18A9ADFF"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6" w:history="1">
            <w:r w:rsidR="00EF5A0C" w:rsidRPr="006C1D01">
              <w:rPr>
                <w:rStyle w:val="Hipervnculo"/>
                <w:rFonts w:eastAsia="Montserrat" w:cs="Arial"/>
                <w:noProof/>
              </w:rPr>
              <w:t>6.</w:t>
            </w:r>
            <w:r w:rsidR="00EF5A0C">
              <w:rPr>
                <w:rFonts w:asciiTheme="minorHAnsi" w:eastAsiaTheme="minorEastAsia" w:hAnsiTheme="minorHAnsi"/>
                <w:noProof/>
                <w:sz w:val="22"/>
                <w:lang w:eastAsia="es-GT"/>
              </w:rPr>
              <w:tab/>
            </w:r>
            <w:r w:rsidR="00EF5A0C" w:rsidRPr="006C1D01">
              <w:rPr>
                <w:rStyle w:val="Hipervnculo"/>
                <w:rFonts w:eastAsia="Montserrat" w:cs="Arial"/>
                <w:noProof/>
              </w:rPr>
              <w:t>Gráfica y descripción del presupuesto asignado, vigente, ejecutado y saldo por ejecutar del grupo de gasto de servicios personales (grupo 0).</w:t>
            </w:r>
            <w:r w:rsidR="00EF5A0C">
              <w:rPr>
                <w:noProof/>
                <w:webHidden/>
              </w:rPr>
              <w:tab/>
            </w:r>
            <w:r w:rsidR="00EF5A0C">
              <w:rPr>
                <w:noProof/>
                <w:webHidden/>
              </w:rPr>
              <w:fldChar w:fldCharType="begin"/>
            </w:r>
            <w:r w:rsidR="00EF5A0C">
              <w:rPr>
                <w:noProof/>
                <w:webHidden/>
              </w:rPr>
              <w:instrText xml:space="preserve"> PAGEREF _Toc133916096 \h </w:instrText>
            </w:r>
            <w:r w:rsidR="00EF5A0C">
              <w:rPr>
                <w:noProof/>
                <w:webHidden/>
              </w:rPr>
            </w:r>
            <w:r w:rsidR="00EF5A0C">
              <w:rPr>
                <w:noProof/>
                <w:webHidden/>
              </w:rPr>
              <w:fldChar w:fldCharType="separate"/>
            </w:r>
            <w:r w:rsidR="005D1C58">
              <w:rPr>
                <w:noProof/>
                <w:webHidden/>
              </w:rPr>
              <w:t>3</w:t>
            </w:r>
            <w:r w:rsidR="00EF5A0C">
              <w:rPr>
                <w:noProof/>
                <w:webHidden/>
              </w:rPr>
              <w:fldChar w:fldCharType="end"/>
            </w:r>
          </w:hyperlink>
        </w:p>
        <w:p w14:paraId="4084C848"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7" w:history="1">
            <w:r w:rsidR="00EF5A0C" w:rsidRPr="006C1D01">
              <w:rPr>
                <w:rStyle w:val="Hipervnculo"/>
                <w:rFonts w:eastAsia="Montserrat" w:cs="Arial"/>
                <w:noProof/>
              </w:rPr>
              <w:t>7.</w:t>
            </w:r>
            <w:r w:rsidR="00EF5A0C">
              <w:rPr>
                <w:rFonts w:asciiTheme="minorHAnsi" w:eastAsiaTheme="minorEastAsia" w:hAnsiTheme="minorHAnsi"/>
                <w:noProof/>
                <w:sz w:val="22"/>
                <w:lang w:eastAsia="es-GT"/>
              </w:rPr>
              <w:tab/>
            </w:r>
            <w:r w:rsidR="00EF5A0C" w:rsidRPr="006C1D01">
              <w:rPr>
                <w:rStyle w:val="Hipervnculo"/>
                <w:rFonts w:eastAsia="Montserrat" w:cs="Arial"/>
                <w:noProof/>
              </w:rPr>
              <w:t>Explicación de la importancia de la erogación en servicios personales</w:t>
            </w:r>
            <w:r w:rsidR="00EF5A0C">
              <w:rPr>
                <w:noProof/>
                <w:webHidden/>
              </w:rPr>
              <w:tab/>
            </w:r>
            <w:r w:rsidR="00EF5A0C">
              <w:rPr>
                <w:noProof/>
                <w:webHidden/>
              </w:rPr>
              <w:fldChar w:fldCharType="begin"/>
            </w:r>
            <w:r w:rsidR="00EF5A0C">
              <w:rPr>
                <w:noProof/>
                <w:webHidden/>
              </w:rPr>
              <w:instrText xml:space="preserve"> PAGEREF _Toc133916097 \h </w:instrText>
            </w:r>
            <w:r w:rsidR="00EF5A0C">
              <w:rPr>
                <w:noProof/>
                <w:webHidden/>
              </w:rPr>
            </w:r>
            <w:r w:rsidR="00EF5A0C">
              <w:rPr>
                <w:noProof/>
                <w:webHidden/>
              </w:rPr>
              <w:fldChar w:fldCharType="separate"/>
            </w:r>
            <w:r w:rsidR="005D1C58">
              <w:rPr>
                <w:noProof/>
                <w:webHidden/>
              </w:rPr>
              <w:t>3</w:t>
            </w:r>
            <w:r w:rsidR="00EF5A0C">
              <w:rPr>
                <w:noProof/>
                <w:webHidden/>
              </w:rPr>
              <w:fldChar w:fldCharType="end"/>
            </w:r>
          </w:hyperlink>
        </w:p>
        <w:p w14:paraId="41045849"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8" w:history="1">
            <w:r w:rsidR="00EF5A0C" w:rsidRPr="006C1D01">
              <w:rPr>
                <w:rStyle w:val="Hipervnculo"/>
                <w:rFonts w:eastAsia="Montserrat" w:cs="Arial"/>
                <w:noProof/>
              </w:rPr>
              <w:t>8.</w:t>
            </w:r>
            <w:r w:rsidR="00EF5A0C">
              <w:rPr>
                <w:rFonts w:asciiTheme="minorHAnsi" w:eastAsiaTheme="minorEastAsia" w:hAnsiTheme="minorHAnsi"/>
                <w:noProof/>
                <w:sz w:val="22"/>
                <w:lang w:eastAsia="es-GT"/>
              </w:rPr>
              <w:tab/>
            </w:r>
            <w:r w:rsidR="00EF5A0C" w:rsidRPr="006C1D01">
              <w:rPr>
                <w:rStyle w:val="Hipervnculo"/>
                <w:rFonts w:eastAsia="Montserrat" w:cs="Arial"/>
                <w:noProof/>
              </w:rPr>
              <w:t>Gráfica y descripción del presupuesto vigente, ejecutado y saldo por ejecutar de la inversión en general.</w:t>
            </w:r>
            <w:r w:rsidR="00EF5A0C">
              <w:rPr>
                <w:noProof/>
                <w:webHidden/>
              </w:rPr>
              <w:tab/>
            </w:r>
            <w:r w:rsidR="00EF5A0C">
              <w:rPr>
                <w:noProof/>
                <w:webHidden/>
              </w:rPr>
              <w:fldChar w:fldCharType="begin"/>
            </w:r>
            <w:r w:rsidR="00EF5A0C">
              <w:rPr>
                <w:noProof/>
                <w:webHidden/>
              </w:rPr>
              <w:instrText xml:space="preserve"> PAGEREF _Toc133916098 \h </w:instrText>
            </w:r>
            <w:r w:rsidR="00EF5A0C">
              <w:rPr>
                <w:noProof/>
                <w:webHidden/>
              </w:rPr>
            </w:r>
            <w:r w:rsidR="00EF5A0C">
              <w:rPr>
                <w:noProof/>
                <w:webHidden/>
              </w:rPr>
              <w:fldChar w:fldCharType="separate"/>
            </w:r>
            <w:r w:rsidR="005D1C58">
              <w:rPr>
                <w:noProof/>
                <w:webHidden/>
              </w:rPr>
              <w:t>4</w:t>
            </w:r>
            <w:r w:rsidR="00EF5A0C">
              <w:rPr>
                <w:noProof/>
                <w:webHidden/>
              </w:rPr>
              <w:fldChar w:fldCharType="end"/>
            </w:r>
          </w:hyperlink>
        </w:p>
        <w:p w14:paraId="5EBBB219" w14:textId="77777777" w:rsidR="00EF5A0C" w:rsidRDefault="00CE0B9D">
          <w:pPr>
            <w:pStyle w:val="TDC1"/>
            <w:tabs>
              <w:tab w:val="left" w:pos="440"/>
              <w:tab w:val="right" w:leader="dot" w:pos="8828"/>
            </w:tabs>
            <w:rPr>
              <w:rFonts w:asciiTheme="minorHAnsi" w:eastAsiaTheme="minorEastAsia" w:hAnsiTheme="minorHAnsi"/>
              <w:noProof/>
              <w:sz w:val="22"/>
              <w:lang w:eastAsia="es-GT"/>
            </w:rPr>
          </w:pPr>
          <w:hyperlink w:anchor="_Toc133916099" w:history="1">
            <w:r w:rsidR="00EF5A0C" w:rsidRPr="006C1D01">
              <w:rPr>
                <w:rStyle w:val="Hipervnculo"/>
                <w:rFonts w:eastAsia="Montserrat" w:cs="Arial"/>
                <w:noProof/>
              </w:rPr>
              <w:t>9.</w:t>
            </w:r>
            <w:r w:rsidR="00EF5A0C">
              <w:rPr>
                <w:rFonts w:asciiTheme="minorHAnsi" w:eastAsiaTheme="minorEastAsia" w:hAnsiTheme="minorHAnsi"/>
                <w:noProof/>
                <w:sz w:val="22"/>
                <w:lang w:eastAsia="es-GT"/>
              </w:rPr>
              <w:tab/>
            </w:r>
            <w:r w:rsidR="00EF5A0C" w:rsidRPr="006C1D01">
              <w:rPr>
                <w:rStyle w:val="Hipervnculo"/>
                <w:rFonts w:eastAsia="Montserrat" w:cs="Arial"/>
                <w:noProof/>
              </w:rPr>
              <w:t>Gráfica y descripción del presupuesto vigente, ejecutado y saldo por ejecutar por finalidad.</w:t>
            </w:r>
            <w:r w:rsidR="00EF5A0C">
              <w:rPr>
                <w:noProof/>
                <w:webHidden/>
              </w:rPr>
              <w:tab/>
            </w:r>
            <w:r w:rsidR="00EF5A0C">
              <w:rPr>
                <w:noProof/>
                <w:webHidden/>
              </w:rPr>
              <w:fldChar w:fldCharType="begin"/>
            </w:r>
            <w:r w:rsidR="00EF5A0C">
              <w:rPr>
                <w:noProof/>
                <w:webHidden/>
              </w:rPr>
              <w:instrText xml:space="preserve"> PAGEREF _Toc133916099 \h </w:instrText>
            </w:r>
            <w:r w:rsidR="00EF5A0C">
              <w:rPr>
                <w:noProof/>
                <w:webHidden/>
              </w:rPr>
            </w:r>
            <w:r w:rsidR="00EF5A0C">
              <w:rPr>
                <w:noProof/>
                <w:webHidden/>
              </w:rPr>
              <w:fldChar w:fldCharType="separate"/>
            </w:r>
            <w:r w:rsidR="005D1C58">
              <w:rPr>
                <w:noProof/>
                <w:webHidden/>
              </w:rPr>
              <w:t>4</w:t>
            </w:r>
            <w:r w:rsidR="00EF5A0C">
              <w:rPr>
                <w:noProof/>
                <w:webHidden/>
              </w:rPr>
              <w:fldChar w:fldCharType="end"/>
            </w:r>
          </w:hyperlink>
        </w:p>
        <w:p w14:paraId="61AC5128" w14:textId="77777777" w:rsidR="00EF5A0C" w:rsidRDefault="00CE0B9D">
          <w:pPr>
            <w:pStyle w:val="TDC1"/>
            <w:tabs>
              <w:tab w:val="left" w:pos="660"/>
              <w:tab w:val="right" w:leader="dot" w:pos="8828"/>
            </w:tabs>
            <w:rPr>
              <w:rFonts w:asciiTheme="minorHAnsi" w:eastAsiaTheme="minorEastAsia" w:hAnsiTheme="minorHAnsi"/>
              <w:noProof/>
              <w:sz w:val="22"/>
              <w:lang w:eastAsia="es-GT"/>
            </w:rPr>
          </w:pPr>
          <w:hyperlink w:anchor="_Toc133916100" w:history="1">
            <w:r w:rsidR="00EF5A0C" w:rsidRPr="006C1D01">
              <w:rPr>
                <w:rStyle w:val="Hipervnculo"/>
                <w:rFonts w:eastAsia="Montserrat" w:cs="Arial"/>
                <w:noProof/>
              </w:rPr>
              <w:t>10.</w:t>
            </w:r>
            <w:r w:rsidR="00EF5A0C">
              <w:rPr>
                <w:rFonts w:asciiTheme="minorHAnsi" w:eastAsiaTheme="minorEastAsia" w:hAnsiTheme="minorHAnsi"/>
                <w:noProof/>
                <w:sz w:val="22"/>
                <w:lang w:eastAsia="es-GT"/>
              </w:rPr>
              <w:tab/>
            </w:r>
            <w:r w:rsidR="00EF5A0C" w:rsidRPr="006C1D01">
              <w:rPr>
                <w:rStyle w:val="Hipervnculo"/>
                <w:rFonts w:eastAsia="Montserrat" w:cs="Arial"/>
                <w:noProof/>
              </w:rPr>
              <w:t>Explicación de la ejecución presupuestaria por su finalidad.</w:t>
            </w:r>
            <w:r w:rsidR="00EF5A0C">
              <w:rPr>
                <w:noProof/>
                <w:webHidden/>
              </w:rPr>
              <w:tab/>
            </w:r>
            <w:r w:rsidR="00EF5A0C">
              <w:rPr>
                <w:noProof/>
                <w:webHidden/>
              </w:rPr>
              <w:fldChar w:fldCharType="begin"/>
            </w:r>
            <w:r w:rsidR="00EF5A0C">
              <w:rPr>
                <w:noProof/>
                <w:webHidden/>
              </w:rPr>
              <w:instrText xml:space="preserve"> PAGEREF _Toc133916100 \h </w:instrText>
            </w:r>
            <w:r w:rsidR="00EF5A0C">
              <w:rPr>
                <w:noProof/>
                <w:webHidden/>
              </w:rPr>
            </w:r>
            <w:r w:rsidR="00EF5A0C">
              <w:rPr>
                <w:noProof/>
                <w:webHidden/>
              </w:rPr>
              <w:fldChar w:fldCharType="separate"/>
            </w:r>
            <w:r w:rsidR="005D1C58">
              <w:rPr>
                <w:noProof/>
                <w:webHidden/>
              </w:rPr>
              <w:t>5</w:t>
            </w:r>
            <w:r w:rsidR="00EF5A0C">
              <w:rPr>
                <w:noProof/>
                <w:webHidden/>
              </w:rPr>
              <w:fldChar w:fldCharType="end"/>
            </w:r>
          </w:hyperlink>
        </w:p>
        <w:p w14:paraId="2AB250D6" w14:textId="77777777" w:rsidR="00EF5A0C" w:rsidRDefault="00CE0B9D">
          <w:pPr>
            <w:pStyle w:val="TDC1"/>
            <w:tabs>
              <w:tab w:val="right" w:leader="dot" w:pos="8828"/>
            </w:tabs>
            <w:rPr>
              <w:rFonts w:asciiTheme="minorHAnsi" w:eastAsiaTheme="minorEastAsia" w:hAnsiTheme="minorHAnsi"/>
              <w:noProof/>
              <w:sz w:val="22"/>
              <w:lang w:eastAsia="es-GT"/>
            </w:rPr>
          </w:pPr>
          <w:hyperlink w:anchor="_Toc133916101" w:history="1">
            <w:r w:rsidR="00EF5A0C" w:rsidRPr="006C1D01">
              <w:rPr>
                <w:rStyle w:val="Hipervnculo"/>
                <w:rFonts w:eastAsia="Montserrat"/>
                <w:noProof/>
              </w:rPr>
              <w:t>PARTE ESPECÍFICA: PRINCIPALES LOGROS INSTITUCIONALES</w:t>
            </w:r>
            <w:r w:rsidR="00EF5A0C">
              <w:rPr>
                <w:noProof/>
                <w:webHidden/>
              </w:rPr>
              <w:tab/>
            </w:r>
            <w:r w:rsidR="00EF5A0C">
              <w:rPr>
                <w:noProof/>
                <w:webHidden/>
              </w:rPr>
              <w:fldChar w:fldCharType="begin"/>
            </w:r>
            <w:r w:rsidR="00EF5A0C">
              <w:rPr>
                <w:noProof/>
                <w:webHidden/>
              </w:rPr>
              <w:instrText xml:space="preserve"> PAGEREF _Toc133916101 \h </w:instrText>
            </w:r>
            <w:r w:rsidR="00EF5A0C">
              <w:rPr>
                <w:noProof/>
                <w:webHidden/>
              </w:rPr>
            </w:r>
            <w:r w:rsidR="00EF5A0C">
              <w:rPr>
                <w:noProof/>
                <w:webHidden/>
              </w:rPr>
              <w:fldChar w:fldCharType="separate"/>
            </w:r>
            <w:r w:rsidR="005D1C58">
              <w:rPr>
                <w:noProof/>
                <w:webHidden/>
              </w:rPr>
              <w:t>5</w:t>
            </w:r>
            <w:r w:rsidR="00EF5A0C">
              <w:rPr>
                <w:noProof/>
                <w:webHidden/>
              </w:rPr>
              <w:fldChar w:fldCharType="end"/>
            </w:r>
          </w:hyperlink>
        </w:p>
        <w:p w14:paraId="15D3EB66" w14:textId="77777777" w:rsidR="00EF5A0C" w:rsidRDefault="00CE0B9D">
          <w:pPr>
            <w:pStyle w:val="TDC1"/>
            <w:tabs>
              <w:tab w:val="left" w:pos="660"/>
              <w:tab w:val="right" w:leader="dot" w:pos="8828"/>
            </w:tabs>
            <w:rPr>
              <w:rFonts w:asciiTheme="minorHAnsi" w:eastAsiaTheme="minorEastAsia" w:hAnsiTheme="minorHAnsi"/>
              <w:noProof/>
              <w:sz w:val="22"/>
              <w:lang w:eastAsia="es-GT"/>
            </w:rPr>
          </w:pPr>
          <w:hyperlink w:anchor="_Toc133916102" w:history="1">
            <w:r w:rsidR="00EF5A0C" w:rsidRPr="006C1D01">
              <w:rPr>
                <w:rStyle w:val="Hipervnculo"/>
                <w:rFonts w:eastAsia="Montserrat" w:cs="Arial"/>
                <w:noProof/>
              </w:rPr>
              <w:t>11.</w:t>
            </w:r>
            <w:r w:rsidR="00EF5A0C">
              <w:rPr>
                <w:rFonts w:asciiTheme="minorHAnsi" w:eastAsiaTheme="minorEastAsia" w:hAnsiTheme="minorHAnsi"/>
                <w:noProof/>
                <w:sz w:val="22"/>
                <w:lang w:eastAsia="es-GT"/>
              </w:rPr>
              <w:tab/>
            </w:r>
            <w:r w:rsidR="00EF5A0C" w:rsidRPr="006C1D01">
              <w:rPr>
                <w:rStyle w:val="Hipervnculo"/>
                <w:rFonts w:eastAsia="Montserrat" w:cs="Arial"/>
                <w:noProof/>
              </w:rPr>
              <w:t>Descripción de los principales servicios realizados</w:t>
            </w:r>
            <w:r w:rsidR="00EF5A0C">
              <w:rPr>
                <w:noProof/>
                <w:webHidden/>
              </w:rPr>
              <w:tab/>
            </w:r>
            <w:r w:rsidR="00EF5A0C">
              <w:rPr>
                <w:noProof/>
                <w:webHidden/>
              </w:rPr>
              <w:fldChar w:fldCharType="begin"/>
            </w:r>
            <w:r w:rsidR="00EF5A0C">
              <w:rPr>
                <w:noProof/>
                <w:webHidden/>
              </w:rPr>
              <w:instrText xml:space="preserve"> PAGEREF _Toc133916102 \h </w:instrText>
            </w:r>
            <w:r w:rsidR="00EF5A0C">
              <w:rPr>
                <w:noProof/>
                <w:webHidden/>
              </w:rPr>
            </w:r>
            <w:r w:rsidR="00EF5A0C">
              <w:rPr>
                <w:noProof/>
                <w:webHidden/>
              </w:rPr>
              <w:fldChar w:fldCharType="separate"/>
            </w:r>
            <w:r w:rsidR="005D1C58">
              <w:rPr>
                <w:noProof/>
                <w:webHidden/>
              </w:rPr>
              <w:t>5</w:t>
            </w:r>
            <w:r w:rsidR="00EF5A0C">
              <w:rPr>
                <w:noProof/>
                <w:webHidden/>
              </w:rPr>
              <w:fldChar w:fldCharType="end"/>
            </w:r>
          </w:hyperlink>
        </w:p>
        <w:p w14:paraId="7DFA70BB" w14:textId="77777777" w:rsidR="00EF5A0C" w:rsidRDefault="00CE0B9D">
          <w:pPr>
            <w:pStyle w:val="TDC1"/>
            <w:tabs>
              <w:tab w:val="right" w:leader="dot" w:pos="8828"/>
            </w:tabs>
            <w:rPr>
              <w:rFonts w:asciiTheme="minorHAnsi" w:eastAsiaTheme="minorEastAsia" w:hAnsiTheme="minorHAnsi"/>
              <w:noProof/>
              <w:sz w:val="22"/>
              <w:lang w:eastAsia="es-GT"/>
            </w:rPr>
          </w:pPr>
          <w:hyperlink w:anchor="_Toc133916103" w:history="1">
            <w:r w:rsidR="00EF5A0C" w:rsidRPr="006C1D01">
              <w:rPr>
                <w:rStyle w:val="Hipervnculo"/>
                <w:noProof/>
              </w:rPr>
              <w:t>CONCLUSIONES</w:t>
            </w:r>
            <w:r w:rsidR="00EF5A0C">
              <w:rPr>
                <w:noProof/>
                <w:webHidden/>
              </w:rPr>
              <w:tab/>
            </w:r>
            <w:r w:rsidR="00EF5A0C">
              <w:rPr>
                <w:noProof/>
                <w:webHidden/>
              </w:rPr>
              <w:fldChar w:fldCharType="begin"/>
            </w:r>
            <w:r w:rsidR="00EF5A0C">
              <w:rPr>
                <w:noProof/>
                <w:webHidden/>
              </w:rPr>
              <w:instrText xml:space="preserve"> PAGEREF _Toc133916103 \h </w:instrText>
            </w:r>
            <w:r w:rsidR="00EF5A0C">
              <w:rPr>
                <w:noProof/>
                <w:webHidden/>
              </w:rPr>
            </w:r>
            <w:r w:rsidR="00EF5A0C">
              <w:rPr>
                <w:noProof/>
                <w:webHidden/>
              </w:rPr>
              <w:fldChar w:fldCharType="separate"/>
            </w:r>
            <w:r w:rsidR="005D1C58">
              <w:rPr>
                <w:noProof/>
                <w:webHidden/>
              </w:rPr>
              <w:t>7</w:t>
            </w:r>
            <w:r w:rsidR="00EF5A0C">
              <w:rPr>
                <w:noProof/>
                <w:webHidden/>
              </w:rPr>
              <w:fldChar w:fldCharType="end"/>
            </w:r>
          </w:hyperlink>
        </w:p>
        <w:p w14:paraId="0BC3BD7B" w14:textId="77777777" w:rsidR="00657537" w:rsidRPr="00064CF7" w:rsidRDefault="00CE0B9D" w:rsidP="00212918">
          <w:pPr>
            <w:pStyle w:val="TDC1"/>
            <w:tabs>
              <w:tab w:val="left" w:pos="660"/>
              <w:tab w:val="right" w:leader="dot" w:pos="8828"/>
            </w:tabs>
            <w:rPr>
              <w:sz w:val="22"/>
            </w:rPr>
            <w:sectPr w:rsidR="00657537" w:rsidRPr="00064CF7" w:rsidSect="0091068C">
              <w:headerReference w:type="default" r:id="rId10"/>
              <w:footerReference w:type="default" r:id="rId11"/>
              <w:pgSz w:w="12240" w:h="15840"/>
              <w:pgMar w:top="1417" w:right="1701" w:bottom="1417" w:left="1701" w:header="708" w:footer="708" w:gutter="0"/>
              <w:pgNumType w:start="1"/>
              <w:cols w:space="708"/>
              <w:docGrid w:linePitch="360"/>
            </w:sectPr>
          </w:pPr>
          <w:hyperlink w:anchor="_Toc133916104" w:history="1">
            <w:r w:rsidR="00EF5A0C" w:rsidRPr="006C1D01">
              <w:rPr>
                <w:rStyle w:val="Hipervnculo"/>
                <w:rFonts w:eastAsia="Montserrat" w:cs="Arial"/>
                <w:noProof/>
              </w:rPr>
              <w:t>12.</w:t>
            </w:r>
            <w:r w:rsidR="00EF5A0C">
              <w:rPr>
                <w:rFonts w:asciiTheme="minorHAnsi" w:eastAsiaTheme="minorEastAsia" w:hAnsiTheme="minorHAnsi"/>
                <w:noProof/>
                <w:sz w:val="22"/>
                <w:lang w:eastAsia="es-GT"/>
              </w:rPr>
              <w:tab/>
            </w:r>
            <w:r w:rsidR="00EF5A0C" w:rsidRPr="006C1D01">
              <w:rPr>
                <w:rStyle w:val="Hipervnculo"/>
                <w:rFonts w:eastAsia="Montserrat" w:cs="Arial"/>
                <w:noProof/>
              </w:rPr>
              <w:t>Tendencias observadas en la ejecución presupuestaria</w:t>
            </w:r>
            <w:r w:rsidR="00EF5A0C">
              <w:rPr>
                <w:noProof/>
                <w:webHidden/>
              </w:rPr>
              <w:tab/>
            </w:r>
            <w:r w:rsidR="00EF5A0C">
              <w:rPr>
                <w:noProof/>
                <w:webHidden/>
              </w:rPr>
              <w:fldChar w:fldCharType="begin"/>
            </w:r>
            <w:r w:rsidR="00EF5A0C">
              <w:rPr>
                <w:noProof/>
                <w:webHidden/>
              </w:rPr>
              <w:instrText xml:space="preserve"> PAGEREF _Toc133916104 \h </w:instrText>
            </w:r>
            <w:r w:rsidR="00EF5A0C">
              <w:rPr>
                <w:noProof/>
                <w:webHidden/>
              </w:rPr>
            </w:r>
            <w:r w:rsidR="00EF5A0C">
              <w:rPr>
                <w:noProof/>
                <w:webHidden/>
              </w:rPr>
              <w:fldChar w:fldCharType="separate"/>
            </w:r>
            <w:r w:rsidR="005D1C58">
              <w:rPr>
                <w:noProof/>
                <w:webHidden/>
              </w:rPr>
              <w:t>7</w:t>
            </w:r>
            <w:r w:rsidR="00EF5A0C">
              <w:rPr>
                <w:noProof/>
                <w:webHidden/>
              </w:rPr>
              <w:fldChar w:fldCharType="end"/>
            </w:r>
          </w:hyperlink>
          <w:r w:rsidR="00906BF1" w:rsidRPr="00AD772D">
            <w:rPr>
              <w:b/>
              <w:bCs/>
              <w:sz w:val="22"/>
              <w:lang w:val="es-ES"/>
            </w:rPr>
            <w:fldChar w:fldCharType="end"/>
          </w:r>
        </w:p>
      </w:sdtContent>
    </w:sdt>
    <w:p w14:paraId="6F48E1C9" w14:textId="77777777" w:rsidR="00906BF1" w:rsidRPr="00064CF7" w:rsidRDefault="00906BF1" w:rsidP="00906BF1">
      <w:pPr>
        <w:pStyle w:val="Ttulo1"/>
      </w:pPr>
      <w:bookmarkStart w:id="1" w:name="_Toc133916089"/>
      <w:r w:rsidRPr="00064CF7">
        <w:lastRenderedPageBreak/>
        <w:t>INTRODUCCIÓN</w:t>
      </w:r>
      <w:bookmarkEnd w:id="1"/>
    </w:p>
    <w:p w14:paraId="5A0ACE82" w14:textId="77777777" w:rsidR="00D41B7F" w:rsidRPr="00064CF7" w:rsidRDefault="00D41B7F" w:rsidP="00D41B7F"/>
    <w:p w14:paraId="6BA1400B" w14:textId="77777777" w:rsidR="00D41B7F" w:rsidRPr="00064CF7" w:rsidRDefault="00D41B7F" w:rsidP="00D41B7F">
      <w:pPr>
        <w:pStyle w:val="Ttulo1"/>
        <w:numPr>
          <w:ilvl w:val="0"/>
          <w:numId w:val="5"/>
        </w:numPr>
        <w:ind w:left="357" w:hanging="357"/>
      </w:pPr>
      <w:bookmarkStart w:id="2" w:name="_Toc82416247"/>
      <w:bookmarkStart w:id="3" w:name="_Toc82762159"/>
      <w:bookmarkStart w:id="4" w:name="_Toc133916090"/>
      <w:r w:rsidRPr="00064CF7">
        <w:rPr>
          <w:rFonts w:eastAsia="Montserrat" w:cs="Arial"/>
        </w:rPr>
        <w:t>P</w:t>
      </w:r>
      <w:r w:rsidRPr="00064CF7">
        <w:rPr>
          <w:rFonts w:cs="Arial"/>
        </w:rPr>
        <w:t xml:space="preserve">rincipales funciones y atribuciones de la Gobernación Departamental de </w:t>
      </w:r>
      <w:bookmarkEnd w:id="2"/>
      <w:bookmarkEnd w:id="3"/>
      <w:r w:rsidR="001A073B">
        <w:rPr>
          <w:rFonts w:cs="Arial"/>
        </w:rPr>
        <w:t>Sacatepéquez</w:t>
      </w:r>
      <w:bookmarkEnd w:id="4"/>
    </w:p>
    <w:p w14:paraId="2422D8A3" w14:textId="77777777" w:rsidR="00D41B7F" w:rsidRPr="00064CF7" w:rsidRDefault="00D41B7F" w:rsidP="00D41B7F">
      <w:r w:rsidRPr="00064CF7">
        <w:t xml:space="preserve">A </w:t>
      </w:r>
      <w:r w:rsidR="00E22F9B" w:rsidRPr="00064CF7">
        <w:t>continuación,</w:t>
      </w:r>
      <w:r w:rsidRPr="00064CF7">
        <w:t xml:space="preserve"> se describen las principales funciones de la Gobernación Departamental.</w:t>
      </w:r>
    </w:p>
    <w:p w14:paraId="67DDBBC1" w14:textId="77777777" w:rsidR="00D41B7F" w:rsidRPr="00064CF7" w:rsidRDefault="00D41B7F" w:rsidP="00D41B7F">
      <w:pPr>
        <w:rPr>
          <w:b/>
          <w:bCs/>
          <w:lang w:val="es-SV"/>
        </w:rPr>
      </w:pPr>
    </w:p>
    <w:p w14:paraId="4078D373" w14:textId="77777777" w:rsidR="00D41B7F" w:rsidRPr="00064CF7" w:rsidRDefault="00D41B7F" w:rsidP="00D41B7F">
      <w:r w:rsidRPr="00064CF7">
        <w:rPr>
          <w:b/>
          <w:bCs/>
          <w:lang w:val="es-SV"/>
        </w:rPr>
        <w:t>Administrativas</w:t>
      </w:r>
    </w:p>
    <w:p w14:paraId="7654B1AD" w14:textId="77777777" w:rsidR="00D41B7F" w:rsidRPr="00064CF7" w:rsidRDefault="00D41B7F" w:rsidP="00D41B7F">
      <w:pPr>
        <w:rPr>
          <w:lang w:val="es-SV"/>
        </w:rPr>
      </w:pPr>
      <w:r w:rsidRPr="00064CF7">
        <w:rPr>
          <w:lang w:val="es-SV"/>
        </w:rPr>
        <w:t>Son las que competen al Ministerio de Gobernación, otro ministerio o cualquiera de las instituciones gubernamentales y no gubernamentales que por delegación de sus autoridades debe realizar el Gobernador Departamental.</w:t>
      </w:r>
    </w:p>
    <w:p w14:paraId="2A311DF4" w14:textId="77777777" w:rsidR="00D41B7F" w:rsidRPr="00064CF7" w:rsidRDefault="00D41B7F" w:rsidP="00D41B7F">
      <w:pPr>
        <w:rPr>
          <w:lang w:val="es-SV"/>
        </w:rPr>
      </w:pPr>
    </w:p>
    <w:p w14:paraId="3956E6E4" w14:textId="77777777" w:rsidR="00D41B7F" w:rsidRPr="00064CF7" w:rsidRDefault="00D41B7F" w:rsidP="00D41B7F">
      <w:r w:rsidRPr="00064CF7">
        <w:rPr>
          <w:b/>
          <w:bCs/>
          <w:lang w:val="es-SV"/>
        </w:rPr>
        <w:t>De coordinación</w:t>
      </w:r>
    </w:p>
    <w:p w14:paraId="55E49D15" w14:textId="77777777" w:rsidR="00D41B7F" w:rsidRPr="00064CF7" w:rsidRDefault="00D41B7F" w:rsidP="00D41B7F">
      <w:r w:rsidRPr="00064CF7">
        <w:rPr>
          <w:lang w:val="es-SV"/>
        </w:rPr>
        <w:t>Son las que se llevan a cabo para hacer efectiva la acción del Estado en todos sus aspectos:</w:t>
      </w:r>
    </w:p>
    <w:p w14:paraId="3E6B09D1" w14:textId="77777777" w:rsidR="00D41B7F" w:rsidRPr="00064CF7" w:rsidRDefault="00D41B7F" w:rsidP="00D41B7F">
      <w:pPr>
        <w:rPr>
          <w:lang w:val="es-SV"/>
        </w:rPr>
      </w:pPr>
      <w:r w:rsidRPr="00064CF7">
        <w:rPr>
          <w:lang w:val="es-SV"/>
        </w:rPr>
        <w:t>Coordinar intra e interinstitucionalmente los mecanismos de comunicación con los diferentes niveles jerárquicos de los Ministerios de Estado y otras entidades gubernamentales y no gubernamentales con representación dentro de la jurisdicción del departamento.</w:t>
      </w:r>
    </w:p>
    <w:p w14:paraId="2B6472F0" w14:textId="77777777" w:rsidR="00D41B7F" w:rsidRPr="00064CF7" w:rsidRDefault="00D41B7F" w:rsidP="00D41B7F">
      <w:pPr>
        <w:rPr>
          <w:lang w:val="es-SV"/>
        </w:rPr>
      </w:pPr>
    </w:p>
    <w:p w14:paraId="479A3D20" w14:textId="77777777" w:rsidR="00D41B7F" w:rsidRPr="00064CF7" w:rsidRDefault="00D41B7F" w:rsidP="00D41B7F">
      <w:r w:rsidRPr="00064CF7">
        <w:rPr>
          <w:b/>
          <w:bCs/>
          <w:lang w:val="es-SV"/>
        </w:rPr>
        <w:t>De vigilancia</w:t>
      </w:r>
    </w:p>
    <w:p w14:paraId="0327C999" w14:textId="77777777" w:rsidR="00D41B7F" w:rsidRPr="00064CF7" w:rsidRDefault="00D41B7F" w:rsidP="00D41B7F">
      <w:r w:rsidRPr="00064CF7">
        <w:rPr>
          <w:lang w:val="es-SV"/>
        </w:rPr>
        <w:t>Son las que conllevan velar por el buen desenvolvimiento de la gestión pública a nivel departamental.</w:t>
      </w:r>
    </w:p>
    <w:p w14:paraId="286DA54F" w14:textId="77777777" w:rsidR="00D41B7F" w:rsidRPr="00064CF7" w:rsidRDefault="00D41B7F" w:rsidP="00D41B7F"/>
    <w:p w14:paraId="116BA06B" w14:textId="77777777" w:rsidR="00D41B7F" w:rsidRPr="00064CF7" w:rsidRDefault="00D41B7F" w:rsidP="00D41B7F">
      <w:pPr>
        <w:pStyle w:val="Ttulo1"/>
        <w:numPr>
          <w:ilvl w:val="0"/>
          <w:numId w:val="5"/>
        </w:numPr>
        <w:ind w:left="357" w:hanging="357"/>
      </w:pPr>
      <w:bookmarkStart w:id="5" w:name="_Toc82416248"/>
      <w:bookmarkStart w:id="6" w:name="_Toc82762160"/>
      <w:bookmarkStart w:id="7" w:name="_Toc133916091"/>
      <w:r w:rsidRPr="00064CF7">
        <w:t>Principales objetivos de la Gobernación Departamental</w:t>
      </w:r>
      <w:bookmarkEnd w:id="5"/>
      <w:bookmarkEnd w:id="6"/>
      <w:bookmarkEnd w:id="7"/>
    </w:p>
    <w:p w14:paraId="68F5F5BF" w14:textId="77777777" w:rsidR="00D41B7F" w:rsidRPr="00064CF7" w:rsidRDefault="00D41B7F" w:rsidP="00D41B7F"/>
    <w:p w14:paraId="3EE1882A" w14:textId="77777777" w:rsidR="00D41B7F" w:rsidRPr="00064CF7" w:rsidRDefault="00D41B7F" w:rsidP="00D41B7F">
      <w:pPr>
        <w:pStyle w:val="Prrafodelista"/>
        <w:numPr>
          <w:ilvl w:val="0"/>
          <w:numId w:val="22"/>
        </w:numPr>
      </w:pPr>
      <w:r w:rsidRPr="00064CF7">
        <w:rPr>
          <w:lang w:val="es-MX"/>
        </w:rPr>
        <w:t>Promover y velar por el desarrollo económico y social del departamento y su organización administrativa.</w:t>
      </w:r>
    </w:p>
    <w:p w14:paraId="6D317CAF" w14:textId="77777777" w:rsidR="00D41B7F" w:rsidRPr="00064CF7" w:rsidRDefault="00D41B7F" w:rsidP="00D41B7F">
      <w:pPr>
        <w:pStyle w:val="Prrafodelista"/>
        <w:numPr>
          <w:ilvl w:val="0"/>
          <w:numId w:val="22"/>
        </w:numPr>
        <w:rPr>
          <w:lang w:val="es-SV"/>
        </w:rPr>
      </w:pPr>
      <w:r w:rsidRPr="00064CF7">
        <w:rPr>
          <w:lang w:val="es-MX"/>
        </w:rPr>
        <w:t xml:space="preserve">Coadyuvar </w:t>
      </w:r>
      <w:r w:rsidRPr="00064CF7">
        <w:rPr>
          <w:lang w:val="es-SV"/>
        </w:rPr>
        <w:t>al buen funcionamiento del aparato estatal, coordinando la acción de las instituciones públicas presentes dentro de la jurisdicción del departamento.</w:t>
      </w:r>
    </w:p>
    <w:p w14:paraId="1E894614" w14:textId="77777777" w:rsidR="00701DDF" w:rsidRPr="00064CF7" w:rsidRDefault="00D41B7F" w:rsidP="00D41B7F">
      <w:pPr>
        <w:pStyle w:val="Prrafodelista"/>
        <w:numPr>
          <w:ilvl w:val="0"/>
          <w:numId w:val="21"/>
        </w:numPr>
      </w:pPr>
      <w:r w:rsidRPr="00064CF7">
        <w:rPr>
          <w:lang w:val="es-SV"/>
        </w:rPr>
        <w:t>Procurar en la jurisdicción del departamento por la seguridad, tranquilidad y el orden públicos de la población</w:t>
      </w:r>
      <w:r w:rsidRPr="00064CF7">
        <w:rPr>
          <w:b/>
          <w:lang w:val="es-SV"/>
        </w:rPr>
        <w:t>.</w:t>
      </w:r>
    </w:p>
    <w:p w14:paraId="13523487" w14:textId="77777777" w:rsidR="00BB634B" w:rsidRPr="00064CF7" w:rsidRDefault="00BB634B" w:rsidP="00BB634B"/>
    <w:p w14:paraId="53B5C88D" w14:textId="77777777" w:rsidR="00BB634B" w:rsidRPr="00064CF7" w:rsidRDefault="00BB634B" w:rsidP="00BB634B"/>
    <w:p w14:paraId="7FDBBB2F" w14:textId="77777777" w:rsidR="00701DDF" w:rsidRPr="00064CF7" w:rsidRDefault="00701DDF" w:rsidP="00701DDF">
      <w:pPr>
        <w:sectPr w:rsidR="00701DDF" w:rsidRPr="00064CF7" w:rsidSect="002F11D2">
          <w:headerReference w:type="default" r:id="rId12"/>
          <w:footerReference w:type="default" r:id="rId13"/>
          <w:pgSz w:w="12240" w:h="15840"/>
          <w:pgMar w:top="1417" w:right="1701" w:bottom="1417" w:left="1701" w:header="708" w:footer="170" w:gutter="0"/>
          <w:pgNumType w:fmt="lowerRoman" w:start="1"/>
          <w:cols w:space="708"/>
          <w:docGrid w:linePitch="360"/>
        </w:sectPr>
      </w:pPr>
    </w:p>
    <w:p w14:paraId="2BA904D8" w14:textId="77777777" w:rsidR="004D6C49" w:rsidRPr="00064CF7" w:rsidRDefault="00BB634B" w:rsidP="008333DD">
      <w:pPr>
        <w:pStyle w:val="Ttulo1"/>
        <w:rPr>
          <w:rFonts w:eastAsia="Montserrat" w:cs="Arial"/>
        </w:rPr>
      </w:pPr>
      <w:bookmarkStart w:id="8" w:name="_Toc133916092"/>
      <w:r w:rsidRPr="00064CF7">
        <w:rPr>
          <w:rFonts w:eastAsia="Montserrat" w:cs="Arial"/>
        </w:rPr>
        <w:lastRenderedPageBreak/>
        <w:t>PARTE GENERAL: EJECUCIÓN PRESUPUESTARIA</w:t>
      </w:r>
      <w:bookmarkEnd w:id="8"/>
    </w:p>
    <w:p w14:paraId="0E2B953C" w14:textId="77777777" w:rsidR="00042FFD" w:rsidRPr="00064CF7" w:rsidRDefault="00042FFD" w:rsidP="00042FFD"/>
    <w:p w14:paraId="3908CC34" w14:textId="77777777" w:rsidR="00B14154" w:rsidRPr="00C22D7C" w:rsidRDefault="00A53F63" w:rsidP="00B14154">
      <w:pPr>
        <w:pStyle w:val="Ttulo1"/>
        <w:numPr>
          <w:ilvl w:val="0"/>
          <w:numId w:val="5"/>
        </w:numPr>
        <w:ind w:left="357" w:hanging="357"/>
        <w:rPr>
          <w:rFonts w:eastAsia="Montserrat" w:cs="Arial"/>
        </w:rPr>
      </w:pPr>
      <w:bookmarkStart w:id="9" w:name="_Toc133916093"/>
      <w:r w:rsidRPr="00C22D7C">
        <w:rPr>
          <w:rFonts w:eastAsia="Montserrat" w:cs="Arial"/>
        </w:rPr>
        <w:t>Gráfica y descripción del presupuesto asignado, vigente, ejecutado y saldo por ejecutar de la entidad</w:t>
      </w:r>
      <w:bookmarkEnd w:id="9"/>
    </w:p>
    <w:p w14:paraId="218EC394" w14:textId="77777777" w:rsidR="000848DF" w:rsidRDefault="000848DF" w:rsidP="000848DF"/>
    <w:p w14:paraId="7CF1D2B0" w14:textId="77777777" w:rsidR="007C6BCE" w:rsidRDefault="008A1919" w:rsidP="007C6BCE">
      <w:pPr>
        <w:jc w:val="center"/>
      </w:pPr>
      <w:r>
        <w:rPr>
          <w:noProof/>
          <w:lang w:eastAsia="es-GT"/>
        </w:rPr>
        <w:drawing>
          <wp:inline distT="0" distB="0" distL="0" distR="0" wp14:anchorId="2A9CFFC5" wp14:editId="640CF1C5">
            <wp:extent cx="4867274" cy="2952750"/>
            <wp:effectExtent l="0" t="0" r="1016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42CA68B" w14:textId="77777777" w:rsidR="00362C7B" w:rsidRDefault="00362C7B" w:rsidP="00362C7B">
      <w:pPr>
        <w:jc w:val="center"/>
        <w:rPr>
          <w:sz w:val="20"/>
        </w:rPr>
      </w:pPr>
      <w:r w:rsidRPr="00064CF7">
        <w:rPr>
          <w:b/>
          <w:sz w:val="20"/>
        </w:rPr>
        <w:t>Fuente</w:t>
      </w:r>
      <w:r w:rsidRPr="00064CF7">
        <w:rPr>
          <w:sz w:val="20"/>
        </w:rPr>
        <w:t xml:space="preserve">: Unidad </w:t>
      </w:r>
      <w:r w:rsidR="003E7E98" w:rsidRPr="00064CF7">
        <w:rPr>
          <w:sz w:val="20"/>
        </w:rPr>
        <w:t>d</w:t>
      </w:r>
      <w:r w:rsidRPr="00064CF7">
        <w:rPr>
          <w:sz w:val="20"/>
        </w:rPr>
        <w:t xml:space="preserve">e </w:t>
      </w:r>
      <w:r w:rsidR="003E7E98" w:rsidRPr="00064CF7">
        <w:rPr>
          <w:sz w:val="20"/>
        </w:rPr>
        <w:t>A</w:t>
      </w:r>
      <w:r w:rsidRPr="00064CF7">
        <w:rPr>
          <w:sz w:val="20"/>
        </w:rPr>
        <w:t xml:space="preserve">dministración </w:t>
      </w:r>
      <w:r w:rsidR="003E7E98" w:rsidRPr="00064CF7">
        <w:rPr>
          <w:sz w:val="20"/>
        </w:rPr>
        <w:t>F</w:t>
      </w:r>
      <w:r w:rsidRPr="00064CF7">
        <w:rPr>
          <w:sz w:val="20"/>
        </w:rPr>
        <w:t xml:space="preserve">inanciera –UDAF–, Ministerio de Gobernación. </w:t>
      </w:r>
      <w:r w:rsidR="008A1919">
        <w:rPr>
          <w:sz w:val="20"/>
        </w:rPr>
        <w:t>Abril 2023.</w:t>
      </w:r>
    </w:p>
    <w:p w14:paraId="1FFDFF09" w14:textId="77777777" w:rsidR="00D07281" w:rsidRPr="00064CF7" w:rsidRDefault="00D07281" w:rsidP="00362C7B">
      <w:pPr>
        <w:jc w:val="center"/>
        <w:rPr>
          <w:sz w:val="20"/>
        </w:rPr>
      </w:pPr>
    </w:p>
    <w:p w14:paraId="6E2DBC41" w14:textId="77777777" w:rsidR="00906BF1" w:rsidRDefault="008330DB" w:rsidP="0091030B">
      <w:pPr>
        <w:pStyle w:val="Ttulo1"/>
        <w:numPr>
          <w:ilvl w:val="0"/>
          <w:numId w:val="5"/>
        </w:numPr>
        <w:ind w:left="357" w:hanging="357"/>
        <w:rPr>
          <w:rFonts w:eastAsia="Montserrat" w:cs="Arial"/>
        </w:rPr>
      </w:pPr>
      <w:bookmarkStart w:id="10" w:name="_Toc133916094"/>
      <w:r w:rsidRPr="00C22D7C">
        <w:rPr>
          <w:rFonts w:eastAsia="Montserrat" w:cs="Arial"/>
        </w:rPr>
        <w:t>Gráfica y descripción del porcentaje de ejecución</w:t>
      </w:r>
      <w:bookmarkEnd w:id="10"/>
    </w:p>
    <w:p w14:paraId="6B9C0E75" w14:textId="77777777" w:rsidR="0041103D" w:rsidRPr="00064CF7" w:rsidRDefault="008A1919" w:rsidP="0041103D">
      <w:pPr>
        <w:jc w:val="center"/>
      </w:pPr>
      <w:r>
        <w:rPr>
          <w:noProof/>
          <w:lang w:eastAsia="es-GT"/>
        </w:rPr>
        <w:drawing>
          <wp:inline distT="0" distB="0" distL="0" distR="0" wp14:anchorId="5FA3FE29" wp14:editId="315A64CE">
            <wp:extent cx="4867200" cy="2952000"/>
            <wp:effectExtent l="0" t="0" r="10160" b="127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CE3A0A7" w14:textId="77777777" w:rsidR="003E7E98" w:rsidRPr="00064CF7" w:rsidRDefault="003E7E98" w:rsidP="003E7E98">
      <w:pPr>
        <w:jc w:val="center"/>
        <w:rPr>
          <w:sz w:val="20"/>
        </w:rPr>
      </w:pPr>
      <w:r w:rsidRPr="00064CF7">
        <w:rPr>
          <w:b/>
          <w:sz w:val="20"/>
        </w:rPr>
        <w:t>Fuente</w:t>
      </w:r>
      <w:r w:rsidRPr="00064CF7">
        <w:rPr>
          <w:sz w:val="20"/>
        </w:rPr>
        <w:t xml:space="preserve">: Unidad de Administración Financiera –UDAF–, Ministerio de Gobernación. </w:t>
      </w:r>
      <w:r w:rsidR="008A1919">
        <w:rPr>
          <w:sz w:val="20"/>
        </w:rPr>
        <w:t>Abril 2023.</w:t>
      </w:r>
    </w:p>
    <w:p w14:paraId="23971424" w14:textId="77777777" w:rsidR="0091030B" w:rsidRPr="00C22D7C" w:rsidRDefault="0091030B" w:rsidP="0091030B">
      <w:pPr>
        <w:pStyle w:val="Ttulo1"/>
        <w:numPr>
          <w:ilvl w:val="0"/>
          <w:numId w:val="5"/>
        </w:numPr>
        <w:ind w:left="357" w:hanging="357"/>
        <w:rPr>
          <w:rFonts w:eastAsia="Montserrat" w:cs="Arial"/>
        </w:rPr>
      </w:pPr>
      <w:bookmarkStart w:id="11" w:name="_Toc133916095"/>
      <w:r w:rsidRPr="00C22D7C">
        <w:rPr>
          <w:rFonts w:eastAsia="Montserrat" w:cs="Arial"/>
        </w:rPr>
        <w:lastRenderedPageBreak/>
        <w:t>Gráfica y descripción del presupuesto asignado, vigente, ejecutado y saldo por ejecutar por grupo de gasto.</w:t>
      </w:r>
      <w:bookmarkEnd w:id="11"/>
    </w:p>
    <w:p w14:paraId="75EC6B03" w14:textId="77777777" w:rsidR="000848DF" w:rsidRDefault="000848DF" w:rsidP="000848DF"/>
    <w:tbl>
      <w:tblPr>
        <w:tblW w:w="8477" w:type="dxa"/>
        <w:jc w:val="center"/>
        <w:tblCellMar>
          <w:left w:w="70" w:type="dxa"/>
          <w:right w:w="70" w:type="dxa"/>
        </w:tblCellMar>
        <w:tblLook w:val="04A0" w:firstRow="1" w:lastRow="0" w:firstColumn="1" w:lastColumn="0" w:noHBand="0" w:noVBand="1"/>
      </w:tblPr>
      <w:tblGrid>
        <w:gridCol w:w="815"/>
        <w:gridCol w:w="2629"/>
        <w:gridCol w:w="1253"/>
        <w:gridCol w:w="1253"/>
        <w:gridCol w:w="1253"/>
        <w:gridCol w:w="1274"/>
      </w:tblGrid>
      <w:tr w:rsidR="00832807" w:rsidRPr="00832807" w14:paraId="63C5E356" w14:textId="77777777" w:rsidTr="00832807">
        <w:trPr>
          <w:trHeight w:val="300"/>
          <w:jc w:val="center"/>
        </w:trPr>
        <w:tc>
          <w:tcPr>
            <w:tcW w:w="8477" w:type="dxa"/>
            <w:gridSpan w:val="6"/>
            <w:tcBorders>
              <w:top w:val="nil"/>
              <w:left w:val="nil"/>
              <w:bottom w:val="nil"/>
              <w:right w:val="nil"/>
            </w:tcBorders>
            <w:shd w:val="clear" w:color="auto" w:fill="auto"/>
            <w:noWrap/>
            <w:vAlign w:val="center"/>
            <w:hideMark/>
          </w:tcPr>
          <w:p w14:paraId="09D24C4D"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Ejecución presupuestaria por grupo de gasto</w:t>
            </w:r>
          </w:p>
        </w:tc>
      </w:tr>
      <w:tr w:rsidR="00832807" w:rsidRPr="00832807" w14:paraId="15D1C8BD" w14:textId="77777777" w:rsidTr="00832807">
        <w:trPr>
          <w:trHeight w:val="300"/>
          <w:jc w:val="center"/>
        </w:trPr>
        <w:tc>
          <w:tcPr>
            <w:tcW w:w="8477" w:type="dxa"/>
            <w:gridSpan w:val="6"/>
            <w:tcBorders>
              <w:top w:val="nil"/>
              <w:left w:val="nil"/>
              <w:bottom w:val="nil"/>
              <w:right w:val="nil"/>
            </w:tcBorders>
            <w:shd w:val="clear" w:color="auto" w:fill="auto"/>
            <w:noWrap/>
            <w:vAlign w:val="center"/>
            <w:hideMark/>
          </w:tcPr>
          <w:p w14:paraId="39AF5161"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(Cifras en Quetzales)</w:t>
            </w:r>
          </w:p>
        </w:tc>
      </w:tr>
      <w:tr w:rsidR="00832807" w:rsidRPr="00832807" w14:paraId="655C38A8" w14:textId="77777777" w:rsidTr="00832807">
        <w:trPr>
          <w:trHeight w:val="315"/>
          <w:jc w:val="center"/>
        </w:trPr>
        <w:tc>
          <w:tcPr>
            <w:tcW w:w="815" w:type="dxa"/>
            <w:tcBorders>
              <w:top w:val="nil"/>
              <w:left w:val="nil"/>
              <w:bottom w:val="nil"/>
              <w:right w:val="nil"/>
            </w:tcBorders>
            <w:shd w:val="clear" w:color="auto" w:fill="auto"/>
            <w:noWrap/>
            <w:vAlign w:val="bottom"/>
            <w:hideMark/>
          </w:tcPr>
          <w:p w14:paraId="2C0EAD9D" w14:textId="77777777" w:rsidR="00832807" w:rsidRPr="00832807" w:rsidRDefault="00832807" w:rsidP="00832807">
            <w:pPr>
              <w:spacing w:line="240" w:lineRule="auto"/>
              <w:jc w:val="center"/>
              <w:rPr>
                <w:rFonts w:eastAsia="Times New Roman" w:cs="Times New Roman"/>
                <w:color w:val="000000"/>
                <w:sz w:val="20"/>
                <w:szCs w:val="20"/>
                <w:lang w:eastAsia="es-GT"/>
              </w:rPr>
            </w:pPr>
          </w:p>
        </w:tc>
        <w:tc>
          <w:tcPr>
            <w:tcW w:w="2629" w:type="dxa"/>
            <w:tcBorders>
              <w:top w:val="nil"/>
              <w:left w:val="nil"/>
              <w:bottom w:val="nil"/>
              <w:right w:val="nil"/>
            </w:tcBorders>
            <w:shd w:val="clear" w:color="auto" w:fill="auto"/>
            <w:noWrap/>
            <w:vAlign w:val="bottom"/>
            <w:hideMark/>
          </w:tcPr>
          <w:p w14:paraId="4A27274B" w14:textId="77777777" w:rsidR="00832807" w:rsidRPr="00832807" w:rsidRDefault="00832807" w:rsidP="00832807">
            <w:pPr>
              <w:spacing w:line="240" w:lineRule="auto"/>
              <w:jc w:val="left"/>
              <w:rPr>
                <w:rFonts w:eastAsia="Times New Roman" w:cs="Times New Roman"/>
                <w:sz w:val="20"/>
                <w:szCs w:val="20"/>
                <w:lang w:eastAsia="es-GT"/>
              </w:rPr>
            </w:pPr>
          </w:p>
        </w:tc>
        <w:tc>
          <w:tcPr>
            <w:tcW w:w="1253" w:type="dxa"/>
            <w:tcBorders>
              <w:top w:val="nil"/>
              <w:left w:val="nil"/>
              <w:bottom w:val="nil"/>
              <w:right w:val="nil"/>
            </w:tcBorders>
            <w:shd w:val="clear" w:color="auto" w:fill="auto"/>
            <w:noWrap/>
            <w:vAlign w:val="bottom"/>
            <w:hideMark/>
          </w:tcPr>
          <w:p w14:paraId="5B1B381E" w14:textId="77777777" w:rsidR="00832807" w:rsidRPr="00832807" w:rsidRDefault="00832807" w:rsidP="00832807">
            <w:pPr>
              <w:spacing w:line="240" w:lineRule="auto"/>
              <w:jc w:val="right"/>
              <w:rPr>
                <w:rFonts w:ascii="Calibri" w:eastAsia="Times New Roman" w:hAnsi="Calibri" w:cs="Calibri"/>
                <w:color w:val="FFFFFF"/>
                <w:sz w:val="22"/>
                <w:lang w:eastAsia="es-GT"/>
              </w:rPr>
            </w:pPr>
            <w:r w:rsidRPr="00832807">
              <w:rPr>
                <w:rFonts w:ascii="Calibri" w:eastAsia="Times New Roman" w:hAnsi="Calibri" w:cs="Calibri"/>
                <w:color w:val="FFFFFF"/>
                <w:sz w:val="22"/>
                <w:lang w:eastAsia="es-GT"/>
              </w:rPr>
              <w:t>13</w:t>
            </w:r>
          </w:p>
        </w:tc>
        <w:tc>
          <w:tcPr>
            <w:tcW w:w="1253" w:type="dxa"/>
            <w:tcBorders>
              <w:top w:val="nil"/>
              <w:left w:val="nil"/>
              <w:bottom w:val="nil"/>
              <w:right w:val="nil"/>
            </w:tcBorders>
            <w:shd w:val="clear" w:color="auto" w:fill="auto"/>
            <w:noWrap/>
            <w:vAlign w:val="bottom"/>
            <w:hideMark/>
          </w:tcPr>
          <w:p w14:paraId="3E44C8DD" w14:textId="77777777" w:rsidR="00832807" w:rsidRPr="00832807" w:rsidRDefault="00832807" w:rsidP="00832807">
            <w:pPr>
              <w:spacing w:line="240" w:lineRule="auto"/>
              <w:jc w:val="right"/>
              <w:rPr>
                <w:rFonts w:ascii="Calibri" w:eastAsia="Times New Roman" w:hAnsi="Calibri" w:cs="Calibri"/>
                <w:color w:val="FFFFFF"/>
                <w:sz w:val="22"/>
                <w:lang w:eastAsia="es-GT"/>
              </w:rPr>
            </w:pPr>
            <w:r w:rsidRPr="00832807">
              <w:rPr>
                <w:rFonts w:ascii="Calibri" w:eastAsia="Times New Roman" w:hAnsi="Calibri" w:cs="Calibri"/>
                <w:color w:val="FFFFFF"/>
                <w:sz w:val="22"/>
                <w:lang w:eastAsia="es-GT"/>
              </w:rPr>
              <w:t>17</w:t>
            </w:r>
          </w:p>
        </w:tc>
        <w:tc>
          <w:tcPr>
            <w:tcW w:w="1253" w:type="dxa"/>
            <w:tcBorders>
              <w:top w:val="nil"/>
              <w:left w:val="nil"/>
              <w:bottom w:val="nil"/>
              <w:right w:val="nil"/>
            </w:tcBorders>
            <w:shd w:val="clear" w:color="auto" w:fill="auto"/>
            <w:noWrap/>
            <w:vAlign w:val="bottom"/>
            <w:hideMark/>
          </w:tcPr>
          <w:p w14:paraId="6FDAAAB0" w14:textId="77777777" w:rsidR="00832807" w:rsidRPr="00832807" w:rsidRDefault="00832807" w:rsidP="00832807">
            <w:pPr>
              <w:spacing w:line="240" w:lineRule="auto"/>
              <w:jc w:val="right"/>
              <w:rPr>
                <w:rFonts w:ascii="Calibri" w:eastAsia="Times New Roman" w:hAnsi="Calibri" w:cs="Calibri"/>
                <w:color w:val="FFFFFF"/>
                <w:sz w:val="22"/>
                <w:lang w:eastAsia="es-GT"/>
              </w:rPr>
            </w:pPr>
            <w:r w:rsidRPr="00832807">
              <w:rPr>
                <w:rFonts w:ascii="Calibri" w:eastAsia="Times New Roman" w:hAnsi="Calibri" w:cs="Calibri"/>
                <w:color w:val="FFFFFF"/>
                <w:sz w:val="22"/>
                <w:lang w:eastAsia="es-GT"/>
              </w:rPr>
              <w:t>23</w:t>
            </w:r>
          </w:p>
        </w:tc>
        <w:tc>
          <w:tcPr>
            <w:tcW w:w="1274" w:type="dxa"/>
            <w:tcBorders>
              <w:top w:val="nil"/>
              <w:left w:val="nil"/>
              <w:bottom w:val="nil"/>
              <w:right w:val="nil"/>
            </w:tcBorders>
            <w:shd w:val="clear" w:color="auto" w:fill="auto"/>
            <w:noWrap/>
            <w:vAlign w:val="bottom"/>
            <w:hideMark/>
          </w:tcPr>
          <w:p w14:paraId="32D30B10" w14:textId="77777777" w:rsidR="00832807" w:rsidRPr="00832807" w:rsidRDefault="00832807" w:rsidP="00832807">
            <w:pPr>
              <w:spacing w:line="240" w:lineRule="auto"/>
              <w:jc w:val="right"/>
              <w:rPr>
                <w:rFonts w:ascii="Calibri" w:eastAsia="Times New Roman" w:hAnsi="Calibri" w:cs="Calibri"/>
                <w:color w:val="FFFFFF"/>
                <w:sz w:val="22"/>
                <w:lang w:eastAsia="es-GT"/>
              </w:rPr>
            </w:pPr>
          </w:p>
        </w:tc>
      </w:tr>
      <w:tr w:rsidR="00832807" w:rsidRPr="00832807" w14:paraId="3F70D042" w14:textId="77777777" w:rsidTr="00832807">
        <w:trPr>
          <w:trHeight w:val="315"/>
          <w:jc w:val="center"/>
        </w:trPr>
        <w:tc>
          <w:tcPr>
            <w:tcW w:w="815"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14:paraId="1DF668B0"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 </w:t>
            </w:r>
          </w:p>
        </w:tc>
        <w:tc>
          <w:tcPr>
            <w:tcW w:w="2629" w:type="dxa"/>
            <w:tcBorders>
              <w:top w:val="double" w:sz="6" w:space="0" w:color="auto"/>
              <w:left w:val="nil"/>
              <w:bottom w:val="single" w:sz="4" w:space="0" w:color="auto"/>
              <w:right w:val="single" w:sz="4" w:space="0" w:color="auto"/>
            </w:tcBorders>
            <w:shd w:val="clear" w:color="auto" w:fill="auto"/>
            <w:noWrap/>
            <w:vAlign w:val="center"/>
            <w:hideMark/>
          </w:tcPr>
          <w:p w14:paraId="111AF1BF"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Nombre del Grupo</w:t>
            </w:r>
          </w:p>
        </w:tc>
        <w:tc>
          <w:tcPr>
            <w:tcW w:w="1253" w:type="dxa"/>
            <w:tcBorders>
              <w:top w:val="double" w:sz="6" w:space="0" w:color="auto"/>
              <w:left w:val="nil"/>
              <w:bottom w:val="single" w:sz="4" w:space="0" w:color="auto"/>
              <w:right w:val="single" w:sz="4" w:space="0" w:color="auto"/>
            </w:tcBorders>
            <w:shd w:val="clear" w:color="auto" w:fill="auto"/>
            <w:noWrap/>
            <w:vAlign w:val="center"/>
            <w:hideMark/>
          </w:tcPr>
          <w:p w14:paraId="51B8DCA4"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Asignado</w:t>
            </w:r>
          </w:p>
        </w:tc>
        <w:tc>
          <w:tcPr>
            <w:tcW w:w="1253" w:type="dxa"/>
            <w:tcBorders>
              <w:top w:val="double" w:sz="6" w:space="0" w:color="auto"/>
              <w:left w:val="nil"/>
              <w:bottom w:val="single" w:sz="4" w:space="0" w:color="auto"/>
              <w:right w:val="single" w:sz="4" w:space="0" w:color="auto"/>
            </w:tcBorders>
            <w:shd w:val="clear" w:color="auto" w:fill="auto"/>
            <w:noWrap/>
            <w:vAlign w:val="center"/>
            <w:hideMark/>
          </w:tcPr>
          <w:p w14:paraId="3BF55885"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Vigente</w:t>
            </w:r>
          </w:p>
        </w:tc>
        <w:tc>
          <w:tcPr>
            <w:tcW w:w="1253" w:type="dxa"/>
            <w:tcBorders>
              <w:top w:val="double" w:sz="6" w:space="0" w:color="auto"/>
              <w:left w:val="nil"/>
              <w:bottom w:val="single" w:sz="4" w:space="0" w:color="auto"/>
              <w:right w:val="single" w:sz="4" w:space="0" w:color="auto"/>
            </w:tcBorders>
            <w:shd w:val="clear" w:color="auto" w:fill="auto"/>
            <w:noWrap/>
            <w:vAlign w:val="center"/>
            <w:hideMark/>
          </w:tcPr>
          <w:p w14:paraId="4E51B118"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Ejecutado</w:t>
            </w:r>
          </w:p>
        </w:tc>
        <w:tc>
          <w:tcPr>
            <w:tcW w:w="1274" w:type="dxa"/>
            <w:tcBorders>
              <w:top w:val="double" w:sz="6" w:space="0" w:color="auto"/>
              <w:left w:val="nil"/>
              <w:bottom w:val="single" w:sz="4" w:space="0" w:color="auto"/>
              <w:right w:val="double" w:sz="6" w:space="0" w:color="auto"/>
            </w:tcBorders>
            <w:shd w:val="clear" w:color="auto" w:fill="auto"/>
            <w:noWrap/>
            <w:vAlign w:val="center"/>
            <w:hideMark/>
          </w:tcPr>
          <w:p w14:paraId="2F03CA33" w14:textId="77777777" w:rsidR="00832807" w:rsidRPr="00832807" w:rsidRDefault="00832807" w:rsidP="00832807">
            <w:pPr>
              <w:spacing w:line="240" w:lineRule="auto"/>
              <w:jc w:val="center"/>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Saldo</w:t>
            </w:r>
          </w:p>
        </w:tc>
      </w:tr>
      <w:tr w:rsidR="00832807" w:rsidRPr="00832807" w14:paraId="16455CA7" w14:textId="77777777" w:rsidTr="00832807">
        <w:trPr>
          <w:trHeight w:val="300"/>
          <w:jc w:val="center"/>
        </w:trPr>
        <w:tc>
          <w:tcPr>
            <w:tcW w:w="815" w:type="dxa"/>
            <w:tcBorders>
              <w:top w:val="nil"/>
              <w:left w:val="double" w:sz="6" w:space="0" w:color="auto"/>
              <w:bottom w:val="nil"/>
              <w:right w:val="single" w:sz="4" w:space="0" w:color="auto"/>
            </w:tcBorders>
            <w:shd w:val="clear" w:color="auto" w:fill="auto"/>
            <w:noWrap/>
            <w:vAlign w:val="center"/>
            <w:hideMark/>
          </w:tcPr>
          <w:p w14:paraId="65F243A0"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2629" w:type="dxa"/>
            <w:tcBorders>
              <w:top w:val="nil"/>
              <w:left w:val="nil"/>
              <w:bottom w:val="nil"/>
              <w:right w:val="single" w:sz="4" w:space="0" w:color="auto"/>
            </w:tcBorders>
            <w:shd w:val="clear" w:color="auto" w:fill="auto"/>
            <w:noWrap/>
            <w:vAlign w:val="center"/>
            <w:hideMark/>
          </w:tcPr>
          <w:p w14:paraId="1A192E30"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1253" w:type="dxa"/>
            <w:tcBorders>
              <w:top w:val="nil"/>
              <w:left w:val="nil"/>
              <w:bottom w:val="nil"/>
              <w:right w:val="single" w:sz="4" w:space="0" w:color="auto"/>
            </w:tcBorders>
            <w:shd w:val="clear" w:color="auto" w:fill="auto"/>
            <w:noWrap/>
            <w:vAlign w:val="center"/>
            <w:hideMark/>
          </w:tcPr>
          <w:p w14:paraId="530DB1D7" w14:textId="77777777" w:rsidR="00832807" w:rsidRPr="00832807" w:rsidRDefault="00832807" w:rsidP="00832807">
            <w:pPr>
              <w:spacing w:line="240" w:lineRule="auto"/>
              <w:jc w:val="left"/>
              <w:rPr>
                <w:rFonts w:eastAsia="Times New Roman" w:cs="Times New Roman"/>
                <w:b/>
                <w:bCs/>
                <w:color w:val="000000"/>
                <w:sz w:val="20"/>
                <w:szCs w:val="20"/>
                <w:u w:val="single"/>
                <w:lang w:eastAsia="es-GT"/>
              </w:rPr>
            </w:pPr>
            <w:r w:rsidRPr="00832807">
              <w:rPr>
                <w:rFonts w:eastAsia="Times New Roman" w:cs="Times New Roman"/>
                <w:b/>
                <w:bCs/>
                <w:color w:val="000000"/>
                <w:sz w:val="20"/>
                <w:szCs w:val="20"/>
                <w:u w:val="single"/>
                <w:lang w:eastAsia="es-GT"/>
              </w:rPr>
              <w:t> </w:t>
            </w:r>
          </w:p>
        </w:tc>
        <w:tc>
          <w:tcPr>
            <w:tcW w:w="1253" w:type="dxa"/>
            <w:tcBorders>
              <w:top w:val="nil"/>
              <w:left w:val="nil"/>
              <w:bottom w:val="nil"/>
              <w:right w:val="single" w:sz="4" w:space="0" w:color="auto"/>
            </w:tcBorders>
            <w:shd w:val="clear" w:color="auto" w:fill="auto"/>
            <w:noWrap/>
            <w:vAlign w:val="center"/>
            <w:hideMark/>
          </w:tcPr>
          <w:p w14:paraId="4F6C6D1B" w14:textId="77777777" w:rsidR="00832807" w:rsidRPr="00832807" w:rsidRDefault="00832807" w:rsidP="00832807">
            <w:pPr>
              <w:spacing w:line="240" w:lineRule="auto"/>
              <w:jc w:val="left"/>
              <w:rPr>
                <w:rFonts w:eastAsia="Times New Roman" w:cs="Times New Roman"/>
                <w:b/>
                <w:bCs/>
                <w:color w:val="000000"/>
                <w:sz w:val="20"/>
                <w:szCs w:val="20"/>
                <w:u w:val="single"/>
                <w:lang w:eastAsia="es-GT"/>
              </w:rPr>
            </w:pPr>
            <w:r w:rsidRPr="00832807">
              <w:rPr>
                <w:rFonts w:eastAsia="Times New Roman" w:cs="Times New Roman"/>
                <w:b/>
                <w:bCs/>
                <w:color w:val="000000"/>
                <w:sz w:val="20"/>
                <w:szCs w:val="20"/>
                <w:u w:val="single"/>
                <w:lang w:eastAsia="es-GT"/>
              </w:rPr>
              <w:t> </w:t>
            </w:r>
          </w:p>
        </w:tc>
        <w:tc>
          <w:tcPr>
            <w:tcW w:w="1253" w:type="dxa"/>
            <w:tcBorders>
              <w:top w:val="nil"/>
              <w:left w:val="nil"/>
              <w:bottom w:val="nil"/>
              <w:right w:val="single" w:sz="4" w:space="0" w:color="auto"/>
            </w:tcBorders>
            <w:shd w:val="clear" w:color="auto" w:fill="auto"/>
            <w:noWrap/>
            <w:vAlign w:val="center"/>
            <w:hideMark/>
          </w:tcPr>
          <w:p w14:paraId="0DA28326" w14:textId="77777777" w:rsidR="00832807" w:rsidRPr="00832807" w:rsidRDefault="00832807" w:rsidP="00832807">
            <w:pPr>
              <w:spacing w:line="240" w:lineRule="auto"/>
              <w:jc w:val="left"/>
              <w:rPr>
                <w:rFonts w:eastAsia="Times New Roman" w:cs="Times New Roman"/>
                <w:b/>
                <w:bCs/>
                <w:color w:val="000000"/>
                <w:sz w:val="20"/>
                <w:szCs w:val="20"/>
                <w:u w:val="single"/>
                <w:lang w:eastAsia="es-GT"/>
              </w:rPr>
            </w:pPr>
            <w:r w:rsidRPr="00832807">
              <w:rPr>
                <w:rFonts w:eastAsia="Times New Roman" w:cs="Times New Roman"/>
                <w:b/>
                <w:bCs/>
                <w:color w:val="000000"/>
                <w:sz w:val="20"/>
                <w:szCs w:val="20"/>
                <w:u w:val="single"/>
                <w:lang w:eastAsia="es-GT"/>
              </w:rPr>
              <w:t> </w:t>
            </w:r>
          </w:p>
        </w:tc>
        <w:tc>
          <w:tcPr>
            <w:tcW w:w="1274" w:type="dxa"/>
            <w:tcBorders>
              <w:top w:val="nil"/>
              <w:left w:val="nil"/>
              <w:bottom w:val="nil"/>
              <w:right w:val="double" w:sz="6" w:space="0" w:color="auto"/>
            </w:tcBorders>
            <w:shd w:val="clear" w:color="auto" w:fill="auto"/>
            <w:noWrap/>
            <w:vAlign w:val="center"/>
            <w:hideMark/>
          </w:tcPr>
          <w:p w14:paraId="2E8DF038" w14:textId="77777777" w:rsidR="00832807" w:rsidRPr="00832807" w:rsidRDefault="00832807" w:rsidP="00832807">
            <w:pPr>
              <w:spacing w:line="240" w:lineRule="auto"/>
              <w:jc w:val="left"/>
              <w:rPr>
                <w:rFonts w:eastAsia="Times New Roman" w:cs="Times New Roman"/>
                <w:b/>
                <w:bCs/>
                <w:color w:val="000000"/>
                <w:sz w:val="20"/>
                <w:szCs w:val="20"/>
                <w:u w:val="single"/>
                <w:lang w:eastAsia="es-GT"/>
              </w:rPr>
            </w:pPr>
            <w:r w:rsidRPr="00832807">
              <w:rPr>
                <w:rFonts w:eastAsia="Times New Roman" w:cs="Times New Roman"/>
                <w:b/>
                <w:bCs/>
                <w:color w:val="000000"/>
                <w:sz w:val="20"/>
                <w:szCs w:val="20"/>
                <w:u w:val="single"/>
                <w:lang w:eastAsia="es-GT"/>
              </w:rPr>
              <w:t> </w:t>
            </w:r>
          </w:p>
        </w:tc>
      </w:tr>
      <w:tr w:rsidR="00832807" w:rsidRPr="00832807" w14:paraId="23725F7F" w14:textId="77777777" w:rsidTr="00832807">
        <w:trPr>
          <w:trHeight w:val="300"/>
          <w:jc w:val="center"/>
        </w:trPr>
        <w:tc>
          <w:tcPr>
            <w:tcW w:w="815" w:type="dxa"/>
            <w:tcBorders>
              <w:top w:val="nil"/>
              <w:left w:val="double" w:sz="6" w:space="0" w:color="auto"/>
              <w:bottom w:val="nil"/>
              <w:right w:val="single" w:sz="4" w:space="0" w:color="auto"/>
            </w:tcBorders>
            <w:shd w:val="clear" w:color="auto" w:fill="auto"/>
            <w:noWrap/>
            <w:vAlign w:val="center"/>
            <w:hideMark/>
          </w:tcPr>
          <w:p w14:paraId="7E003101"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Grupo 0</w:t>
            </w:r>
          </w:p>
        </w:tc>
        <w:tc>
          <w:tcPr>
            <w:tcW w:w="2629" w:type="dxa"/>
            <w:tcBorders>
              <w:top w:val="nil"/>
              <w:left w:val="nil"/>
              <w:bottom w:val="nil"/>
              <w:right w:val="single" w:sz="4" w:space="0" w:color="auto"/>
            </w:tcBorders>
            <w:shd w:val="clear" w:color="auto" w:fill="auto"/>
            <w:noWrap/>
            <w:vAlign w:val="center"/>
            <w:hideMark/>
          </w:tcPr>
          <w:p w14:paraId="6864F85C"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Servicios Personales</w:t>
            </w:r>
          </w:p>
        </w:tc>
        <w:tc>
          <w:tcPr>
            <w:tcW w:w="1253" w:type="dxa"/>
            <w:tcBorders>
              <w:top w:val="nil"/>
              <w:left w:val="nil"/>
              <w:bottom w:val="nil"/>
              <w:right w:val="single" w:sz="4" w:space="0" w:color="auto"/>
            </w:tcBorders>
            <w:shd w:val="clear" w:color="auto" w:fill="auto"/>
            <w:noWrap/>
            <w:vAlign w:val="center"/>
            <w:hideMark/>
          </w:tcPr>
          <w:p w14:paraId="0498CB26"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2,540,370.00</w:t>
            </w:r>
          </w:p>
        </w:tc>
        <w:tc>
          <w:tcPr>
            <w:tcW w:w="1253" w:type="dxa"/>
            <w:tcBorders>
              <w:top w:val="nil"/>
              <w:left w:val="nil"/>
              <w:bottom w:val="nil"/>
              <w:right w:val="single" w:sz="4" w:space="0" w:color="auto"/>
            </w:tcBorders>
            <w:shd w:val="clear" w:color="auto" w:fill="auto"/>
            <w:noWrap/>
            <w:vAlign w:val="center"/>
            <w:hideMark/>
          </w:tcPr>
          <w:p w14:paraId="74B62F97"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2,540,370.00</w:t>
            </w:r>
          </w:p>
        </w:tc>
        <w:tc>
          <w:tcPr>
            <w:tcW w:w="1253" w:type="dxa"/>
            <w:tcBorders>
              <w:top w:val="nil"/>
              <w:left w:val="nil"/>
              <w:bottom w:val="nil"/>
              <w:right w:val="single" w:sz="4" w:space="0" w:color="auto"/>
            </w:tcBorders>
            <w:shd w:val="clear" w:color="auto" w:fill="auto"/>
            <w:noWrap/>
            <w:vAlign w:val="center"/>
            <w:hideMark/>
          </w:tcPr>
          <w:p w14:paraId="0C4CBC4E"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773,857.81</w:t>
            </w:r>
          </w:p>
        </w:tc>
        <w:tc>
          <w:tcPr>
            <w:tcW w:w="1274" w:type="dxa"/>
            <w:tcBorders>
              <w:top w:val="nil"/>
              <w:left w:val="nil"/>
              <w:bottom w:val="nil"/>
              <w:right w:val="double" w:sz="6" w:space="0" w:color="auto"/>
            </w:tcBorders>
            <w:shd w:val="clear" w:color="auto" w:fill="auto"/>
            <w:noWrap/>
            <w:vAlign w:val="center"/>
            <w:hideMark/>
          </w:tcPr>
          <w:p w14:paraId="76E0A6F8"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1,766,512.19</w:t>
            </w:r>
          </w:p>
        </w:tc>
      </w:tr>
      <w:tr w:rsidR="00832807" w:rsidRPr="00832807" w14:paraId="677098D4" w14:textId="77777777" w:rsidTr="00832807">
        <w:trPr>
          <w:trHeight w:val="300"/>
          <w:jc w:val="center"/>
        </w:trPr>
        <w:tc>
          <w:tcPr>
            <w:tcW w:w="815" w:type="dxa"/>
            <w:tcBorders>
              <w:top w:val="nil"/>
              <w:left w:val="double" w:sz="6" w:space="0" w:color="auto"/>
              <w:bottom w:val="nil"/>
              <w:right w:val="single" w:sz="4" w:space="0" w:color="auto"/>
            </w:tcBorders>
            <w:shd w:val="clear" w:color="auto" w:fill="auto"/>
            <w:noWrap/>
            <w:vAlign w:val="center"/>
            <w:hideMark/>
          </w:tcPr>
          <w:p w14:paraId="75C65816"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Grupo 1</w:t>
            </w:r>
          </w:p>
        </w:tc>
        <w:tc>
          <w:tcPr>
            <w:tcW w:w="2629" w:type="dxa"/>
            <w:tcBorders>
              <w:top w:val="nil"/>
              <w:left w:val="nil"/>
              <w:bottom w:val="nil"/>
              <w:right w:val="single" w:sz="4" w:space="0" w:color="auto"/>
            </w:tcBorders>
            <w:shd w:val="clear" w:color="auto" w:fill="auto"/>
            <w:noWrap/>
            <w:vAlign w:val="center"/>
            <w:hideMark/>
          </w:tcPr>
          <w:p w14:paraId="552E32BC"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Servicios no Personales</w:t>
            </w:r>
          </w:p>
        </w:tc>
        <w:tc>
          <w:tcPr>
            <w:tcW w:w="1253" w:type="dxa"/>
            <w:tcBorders>
              <w:top w:val="nil"/>
              <w:left w:val="nil"/>
              <w:bottom w:val="nil"/>
              <w:right w:val="single" w:sz="4" w:space="0" w:color="auto"/>
            </w:tcBorders>
            <w:shd w:val="clear" w:color="auto" w:fill="auto"/>
            <w:noWrap/>
            <w:vAlign w:val="center"/>
            <w:hideMark/>
          </w:tcPr>
          <w:p w14:paraId="685D421E"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1,044,305.00</w:t>
            </w:r>
          </w:p>
        </w:tc>
        <w:tc>
          <w:tcPr>
            <w:tcW w:w="1253" w:type="dxa"/>
            <w:tcBorders>
              <w:top w:val="nil"/>
              <w:left w:val="nil"/>
              <w:bottom w:val="nil"/>
              <w:right w:val="single" w:sz="4" w:space="0" w:color="auto"/>
            </w:tcBorders>
            <w:shd w:val="clear" w:color="auto" w:fill="auto"/>
            <w:noWrap/>
            <w:vAlign w:val="center"/>
            <w:hideMark/>
          </w:tcPr>
          <w:p w14:paraId="5CBE6159"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967,305.00</w:t>
            </w:r>
          </w:p>
        </w:tc>
        <w:tc>
          <w:tcPr>
            <w:tcW w:w="1253" w:type="dxa"/>
            <w:tcBorders>
              <w:top w:val="nil"/>
              <w:left w:val="nil"/>
              <w:bottom w:val="nil"/>
              <w:right w:val="single" w:sz="4" w:space="0" w:color="auto"/>
            </w:tcBorders>
            <w:shd w:val="clear" w:color="auto" w:fill="auto"/>
            <w:noWrap/>
            <w:vAlign w:val="center"/>
            <w:hideMark/>
          </w:tcPr>
          <w:p w14:paraId="0EA9751E"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230,503.20</w:t>
            </w:r>
          </w:p>
        </w:tc>
        <w:tc>
          <w:tcPr>
            <w:tcW w:w="1274" w:type="dxa"/>
            <w:tcBorders>
              <w:top w:val="nil"/>
              <w:left w:val="nil"/>
              <w:bottom w:val="nil"/>
              <w:right w:val="double" w:sz="6" w:space="0" w:color="auto"/>
            </w:tcBorders>
            <w:shd w:val="clear" w:color="auto" w:fill="auto"/>
            <w:noWrap/>
            <w:vAlign w:val="center"/>
            <w:hideMark/>
          </w:tcPr>
          <w:p w14:paraId="15FEB4F3"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736,801.80</w:t>
            </w:r>
          </w:p>
        </w:tc>
      </w:tr>
      <w:tr w:rsidR="00832807" w:rsidRPr="00832807" w14:paraId="2691790F" w14:textId="77777777" w:rsidTr="00832807">
        <w:trPr>
          <w:trHeight w:val="300"/>
          <w:jc w:val="center"/>
        </w:trPr>
        <w:tc>
          <w:tcPr>
            <w:tcW w:w="815" w:type="dxa"/>
            <w:tcBorders>
              <w:top w:val="nil"/>
              <w:left w:val="double" w:sz="6" w:space="0" w:color="auto"/>
              <w:bottom w:val="nil"/>
              <w:right w:val="single" w:sz="4" w:space="0" w:color="auto"/>
            </w:tcBorders>
            <w:shd w:val="clear" w:color="auto" w:fill="auto"/>
            <w:noWrap/>
            <w:vAlign w:val="center"/>
            <w:hideMark/>
          </w:tcPr>
          <w:p w14:paraId="65A3F2F3"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Grupo 2</w:t>
            </w:r>
          </w:p>
        </w:tc>
        <w:tc>
          <w:tcPr>
            <w:tcW w:w="2629" w:type="dxa"/>
            <w:tcBorders>
              <w:top w:val="nil"/>
              <w:left w:val="nil"/>
              <w:bottom w:val="nil"/>
              <w:right w:val="single" w:sz="4" w:space="0" w:color="auto"/>
            </w:tcBorders>
            <w:shd w:val="clear" w:color="auto" w:fill="auto"/>
            <w:noWrap/>
            <w:vAlign w:val="center"/>
            <w:hideMark/>
          </w:tcPr>
          <w:p w14:paraId="5DAC50BB"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Materiales y Suministros</w:t>
            </w:r>
          </w:p>
        </w:tc>
        <w:tc>
          <w:tcPr>
            <w:tcW w:w="1253" w:type="dxa"/>
            <w:tcBorders>
              <w:top w:val="nil"/>
              <w:left w:val="nil"/>
              <w:bottom w:val="nil"/>
              <w:right w:val="single" w:sz="4" w:space="0" w:color="auto"/>
            </w:tcBorders>
            <w:shd w:val="clear" w:color="auto" w:fill="auto"/>
            <w:noWrap/>
            <w:vAlign w:val="center"/>
            <w:hideMark/>
          </w:tcPr>
          <w:p w14:paraId="36A20AD3"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404,745.00</w:t>
            </w:r>
          </w:p>
        </w:tc>
        <w:tc>
          <w:tcPr>
            <w:tcW w:w="1253" w:type="dxa"/>
            <w:tcBorders>
              <w:top w:val="nil"/>
              <w:left w:val="nil"/>
              <w:bottom w:val="nil"/>
              <w:right w:val="single" w:sz="4" w:space="0" w:color="auto"/>
            </w:tcBorders>
            <w:shd w:val="clear" w:color="auto" w:fill="auto"/>
            <w:noWrap/>
            <w:vAlign w:val="center"/>
            <w:hideMark/>
          </w:tcPr>
          <w:p w14:paraId="018601EB"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409,745.00</w:t>
            </w:r>
          </w:p>
        </w:tc>
        <w:tc>
          <w:tcPr>
            <w:tcW w:w="1253" w:type="dxa"/>
            <w:tcBorders>
              <w:top w:val="nil"/>
              <w:left w:val="nil"/>
              <w:bottom w:val="nil"/>
              <w:right w:val="single" w:sz="4" w:space="0" w:color="auto"/>
            </w:tcBorders>
            <w:shd w:val="clear" w:color="auto" w:fill="auto"/>
            <w:noWrap/>
            <w:vAlign w:val="center"/>
            <w:hideMark/>
          </w:tcPr>
          <w:p w14:paraId="0D044FDE"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126,827.71</w:t>
            </w:r>
          </w:p>
        </w:tc>
        <w:tc>
          <w:tcPr>
            <w:tcW w:w="1274" w:type="dxa"/>
            <w:tcBorders>
              <w:top w:val="nil"/>
              <w:left w:val="nil"/>
              <w:bottom w:val="nil"/>
              <w:right w:val="double" w:sz="6" w:space="0" w:color="auto"/>
            </w:tcBorders>
            <w:shd w:val="clear" w:color="auto" w:fill="auto"/>
            <w:noWrap/>
            <w:vAlign w:val="center"/>
            <w:hideMark/>
          </w:tcPr>
          <w:p w14:paraId="7978B3AA"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282,917.29</w:t>
            </w:r>
          </w:p>
        </w:tc>
      </w:tr>
      <w:tr w:rsidR="00832807" w:rsidRPr="00832807" w14:paraId="5A404846" w14:textId="77777777" w:rsidTr="00832807">
        <w:trPr>
          <w:trHeight w:val="510"/>
          <w:jc w:val="center"/>
        </w:trPr>
        <w:tc>
          <w:tcPr>
            <w:tcW w:w="815" w:type="dxa"/>
            <w:tcBorders>
              <w:top w:val="nil"/>
              <w:left w:val="double" w:sz="6" w:space="0" w:color="auto"/>
              <w:bottom w:val="nil"/>
              <w:right w:val="single" w:sz="4" w:space="0" w:color="auto"/>
            </w:tcBorders>
            <w:shd w:val="clear" w:color="auto" w:fill="auto"/>
            <w:noWrap/>
            <w:vAlign w:val="center"/>
            <w:hideMark/>
          </w:tcPr>
          <w:p w14:paraId="35DDECB9"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Grupo 3</w:t>
            </w:r>
          </w:p>
        </w:tc>
        <w:tc>
          <w:tcPr>
            <w:tcW w:w="2629" w:type="dxa"/>
            <w:tcBorders>
              <w:top w:val="nil"/>
              <w:left w:val="nil"/>
              <w:bottom w:val="nil"/>
              <w:right w:val="single" w:sz="4" w:space="0" w:color="auto"/>
            </w:tcBorders>
            <w:shd w:val="clear" w:color="auto" w:fill="auto"/>
            <w:vAlign w:val="center"/>
            <w:hideMark/>
          </w:tcPr>
          <w:p w14:paraId="1DCF387F"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Propiedad, Planta, Equipo e Intangibles</w:t>
            </w:r>
          </w:p>
        </w:tc>
        <w:tc>
          <w:tcPr>
            <w:tcW w:w="1253" w:type="dxa"/>
            <w:tcBorders>
              <w:top w:val="nil"/>
              <w:left w:val="nil"/>
              <w:bottom w:val="nil"/>
              <w:right w:val="single" w:sz="4" w:space="0" w:color="auto"/>
            </w:tcBorders>
            <w:shd w:val="clear" w:color="auto" w:fill="auto"/>
            <w:noWrap/>
            <w:vAlign w:val="center"/>
            <w:hideMark/>
          </w:tcPr>
          <w:p w14:paraId="31B717F6"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20,760.00</w:t>
            </w:r>
          </w:p>
        </w:tc>
        <w:tc>
          <w:tcPr>
            <w:tcW w:w="1253" w:type="dxa"/>
            <w:tcBorders>
              <w:top w:val="nil"/>
              <w:left w:val="nil"/>
              <w:bottom w:val="nil"/>
              <w:right w:val="single" w:sz="4" w:space="0" w:color="auto"/>
            </w:tcBorders>
            <w:shd w:val="clear" w:color="auto" w:fill="auto"/>
            <w:noWrap/>
            <w:vAlign w:val="center"/>
            <w:hideMark/>
          </w:tcPr>
          <w:p w14:paraId="581EF834"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92,760.00</w:t>
            </w:r>
          </w:p>
        </w:tc>
        <w:tc>
          <w:tcPr>
            <w:tcW w:w="1253" w:type="dxa"/>
            <w:tcBorders>
              <w:top w:val="nil"/>
              <w:left w:val="nil"/>
              <w:bottom w:val="nil"/>
              <w:right w:val="single" w:sz="4" w:space="0" w:color="auto"/>
            </w:tcBorders>
            <w:shd w:val="clear" w:color="auto" w:fill="auto"/>
            <w:noWrap/>
            <w:vAlign w:val="center"/>
            <w:hideMark/>
          </w:tcPr>
          <w:p w14:paraId="3724D9CD"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14,233.00</w:t>
            </w:r>
          </w:p>
        </w:tc>
        <w:tc>
          <w:tcPr>
            <w:tcW w:w="1274" w:type="dxa"/>
            <w:tcBorders>
              <w:top w:val="nil"/>
              <w:left w:val="nil"/>
              <w:bottom w:val="nil"/>
              <w:right w:val="double" w:sz="6" w:space="0" w:color="auto"/>
            </w:tcBorders>
            <w:shd w:val="clear" w:color="auto" w:fill="auto"/>
            <w:noWrap/>
            <w:vAlign w:val="center"/>
            <w:hideMark/>
          </w:tcPr>
          <w:p w14:paraId="1BC4716E" w14:textId="77777777" w:rsidR="00832807" w:rsidRPr="00832807" w:rsidRDefault="00832807" w:rsidP="00832807">
            <w:pPr>
              <w:spacing w:line="240" w:lineRule="auto"/>
              <w:jc w:val="right"/>
              <w:rPr>
                <w:rFonts w:eastAsia="Times New Roman" w:cs="Times New Roman"/>
                <w:color w:val="000000"/>
                <w:sz w:val="20"/>
                <w:szCs w:val="20"/>
                <w:lang w:eastAsia="es-GT"/>
              </w:rPr>
            </w:pPr>
            <w:r w:rsidRPr="00832807">
              <w:rPr>
                <w:rFonts w:eastAsia="Times New Roman" w:cs="Times New Roman"/>
                <w:color w:val="000000"/>
                <w:sz w:val="20"/>
                <w:szCs w:val="20"/>
                <w:lang w:eastAsia="es-GT"/>
              </w:rPr>
              <w:t>78,527.00</w:t>
            </w:r>
          </w:p>
        </w:tc>
      </w:tr>
      <w:tr w:rsidR="00832807" w:rsidRPr="00832807" w14:paraId="19759405" w14:textId="77777777" w:rsidTr="00832807">
        <w:trPr>
          <w:trHeight w:val="315"/>
          <w:jc w:val="center"/>
        </w:trPr>
        <w:tc>
          <w:tcPr>
            <w:tcW w:w="815" w:type="dxa"/>
            <w:tcBorders>
              <w:top w:val="nil"/>
              <w:left w:val="double" w:sz="6" w:space="0" w:color="auto"/>
              <w:bottom w:val="nil"/>
              <w:right w:val="single" w:sz="4" w:space="0" w:color="auto"/>
            </w:tcBorders>
            <w:shd w:val="clear" w:color="auto" w:fill="auto"/>
            <w:noWrap/>
            <w:vAlign w:val="center"/>
            <w:hideMark/>
          </w:tcPr>
          <w:p w14:paraId="6F2191EC"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2629" w:type="dxa"/>
            <w:tcBorders>
              <w:top w:val="nil"/>
              <w:left w:val="nil"/>
              <w:bottom w:val="nil"/>
              <w:right w:val="single" w:sz="4" w:space="0" w:color="auto"/>
            </w:tcBorders>
            <w:shd w:val="clear" w:color="auto" w:fill="auto"/>
            <w:noWrap/>
            <w:vAlign w:val="center"/>
            <w:hideMark/>
          </w:tcPr>
          <w:p w14:paraId="75E80B88"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1253" w:type="dxa"/>
            <w:tcBorders>
              <w:top w:val="nil"/>
              <w:left w:val="nil"/>
              <w:bottom w:val="nil"/>
              <w:right w:val="single" w:sz="4" w:space="0" w:color="auto"/>
            </w:tcBorders>
            <w:shd w:val="clear" w:color="auto" w:fill="auto"/>
            <w:noWrap/>
            <w:vAlign w:val="center"/>
            <w:hideMark/>
          </w:tcPr>
          <w:p w14:paraId="620F69E6"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1253" w:type="dxa"/>
            <w:tcBorders>
              <w:top w:val="nil"/>
              <w:left w:val="nil"/>
              <w:bottom w:val="nil"/>
              <w:right w:val="single" w:sz="4" w:space="0" w:color="auto"/>
            </w:tcBorders>
            <w:shd w:val="clear" w:color="auto" w:fill="auto"/>
            <w:noWrap/>
            <w:vAlign w:val="center"/>
            <w:hideMark/>
          </w:tcPr>
          <w:p w14:paraId="045E8263"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1253" w:type="dxa"/>
            <w:tcBorders>
              <w:top w:val="nil"/>
              <w:left w:val="nil"/>
              <w:bottom w:val="nil"/>
              <w:right w:val="single" w:sz="4" w:space="0" w:color="auto"/>
            </w:tcBorders>
            <w:shd w:val="clear" w:color="auto" w:fill="auto"/>
            <w:noWrap/>
            <w:vAlign w:val="center"/>
            <w:hideMark/>
          </w:tcPr>
          <w:p w14:paraId="38BCBDAC"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1274" w:type="dxa"/>
            <w:tcBorders>
              <w:top w:val="nil"/>
              <w:left w:val="nil"/>
              <w:bottom w:val="nil"/>
              <w:right w:val="double" w:sz="6" w:space="0" w:color="auto"/>
            </w:tcBorders>
            <w:shd w:val="clear" w:color="auto" w:fill="auto"/>
            <w:noWrap/>
            <w:vAlign w:val="center"/>
            <w:hideMark/>
          </w:tcPr>
          <w:p w14:paraId="3BC541AE"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r>
      <w:tr w:rsidR="00832807" w:rsidRPr="00832807" w14:paraId="50D35A65" w14:textId="77777777" w:rsidTr="00832807">
        <w:trPr>
          <w:trHeight w:val="315"/>
          <w:jc w:val="center"/>
        </w:trPr>
        <w:tc>
          <w:tcPr>
            <w:tcW w:w="815" w:type="dxa"/>
            <w:tcBorders>
              <w:top w:val="nil"/>
              <w:left w:val="double" w:sz="6" w:space="0" w:color="auto"/>
              <w:bottom w:val="double" w:sz="6" w:space="0" w:color="auto"/>
              <w:right w:val="single" w:sz="4" w:space="0" w:color="auto"/>
            </w:tcBorders>
            <w:shd w:val="clear" w:color="auto" w:fill="auto"/>
            <w:noWrap/>
            <w:vAlign w:val="center"/>
            <w:hideMark/>
          </w:tcPr>
          <w:p w14:paraId="4EBC3532" w14:textId="77777777" w:rsidR="00832807" w:rsidRPr="00832807" w:rsidRDefault="00832807" w:rsidP="00832807">
            <w:pPr>
              <w:spacing w:line="240" w:lineRule="auto"/>
              <w:jc w:val="center"/>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2629" w:type="dxa"/>
            <w:tcBorders>
              <w:top w:val="nil"/>
              <w:left w:val="nil"/>
              <w:bottom w:val="double" w:sz="6" w:space="0" w:color="auto"/>
              <w:right w:val="single" w:sz="4" w:space="0" w:color="auto"/>
            </w:tcBorders>
            <w:shd w:val="clear" w:color="auto" w:fill="auto"/>
            <w:noWrap/>
            <w:vAlign w:val="center"/>
            <w:hideMark/>
          </w:tcPr>
          <w:p w14:paraId="25518D8A" w14:textId="77777777" w:rsidR="00832807" w:rsidRPr="00832807" w:rsidRDefault="00832807" w:rsidP="00832807">
            <w:pPr>
              <w:spacing w:line="240" w:lineRule="auto"/>
              <w:jc w:val="left"/>
              <w:rPr>
                <w:rFonts w:eastAsia="Times New Roman" w:cs="Times New Roman"/>
                <w:color w:val="000000"/>
                <w:sz w:val="20"/>
                <w:szCs w:val="20"/>
                <w:lang w:eastAsia="es-GT"/>
              </w:rPr>
            </w:pPr>
            <w:r w:rsidRPr="00832807">
              <w:rPr>
                <w:rFonts w:eastAsia="Times New Roman" w:cs="Times New Roman"/>
                <w:color w:val="000000"/>
                <w:sz w:val="20"/>
                <w:szCs w:val="20"/>
                <w:lang w:eastAsia="es-GT"/>
              </w:rPr>
              <w:t> </w:t>
            </w:r>
          </w:p>
        </w:tc>
        <w:tc>
          <w:tcPr>
            <w:tcW w:w="1253" w:type="dxa"/>
            <w:tcBorders>
              <w:top w:val="nil"/>
              <w:left w:val="nil"/>
              <w:bottom w:val="double" w:sz="6" w:space="0" w:color="auto"/>
              <w:right w:val="single" w:sz="4" w:space="0" w:color="auto"/>
            </w:tcBorders>
            <w:shd w:val="clear" w:color="auto" w:fill="auto"/>
            <w:noWrap/>
            <w:vAlign w:val="center"/>
            <w:hideMark/>
          </w:tcPr>
          <w:p w14:paraId="44AFC0D2" w14:textId="77777777" w:rsidR="00832807" w:rsidRPr="00832807" w:rsidRDefault="00832807" w:rsidP="00832807">
            <w:pPr>
              <w:spacing w:line="240" w:lineRule="auto"/>
              <w:jc w:val="right"/>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4,010,180.00</w:t>
            </w:r>
          </w:p>
        </w:tc>
        <w:tc>
          <w:tcPr>
            <w:tcW w:w="1253" w:type="dxa"/>
            <w:tcBorders>
              <w:top w:val="nil"/>
              <w:left w:val="nil"/>
              <w:bottom w:val="double" w:sz="6" w:space="0" w:color="auto"/>
              <w:right w:val="single" w:sz="4" w:space="0" w:color="auto"/>
            </w:tcBorders>
            <w:shd w:val="clear" w:color="auto" w:fill="auto"/>
            <w:noWrap/>
            <w:vAlign w:val="center"/>
            <w:hideMark/>
          </w:tcPr>
          <w:p w14:paraId="25852264" w14:textId="77777777" w:rsidR="00832807" w:rsidRPr="00832807" w:rsidRDefault="00832807" w:rsidP="00832807">
            <w:pPr>
              <w:spacing w:line="240" w:lineRule="auto"/>
              <w:jc w:val="right"/>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4,010,180.00</w:t>
            </w:r>
          </w:p>
        </w:tc>
        <w:tc>
          <w:tcPr>
            <w:tcW w:w="1253" w:type="dxa"/>
            <w:tcBorders>
              <w:top w:val="nil"/>
              <w:left w:val="nil"/>
              <w:bottom w:val="double" w:sz="6" w:space="0" w:color="auto"/>
              <w:right w:val="single" w:sz="4" w:space="0" w:color="auto"/>
            </w:tcBorders>
            <w:shd w:val="clear" w:color="auto" w:fill="auto"/>
            <w:noWrap/>
            <w:vAlign w:val="center"/>
            <w:hideMark/>
          </w:tcPr>
          <w:p w14:paraId="7F851198" w14:textId="77777777" w:rsidR="00832807" w:rsidRPr="00832807" w:rsidRDefault="00832807" w:rsidP="00832807">
            <w:pPr>
              <w:spacing w:line="240" w:lineRule="auto"/>
              <w:jc w:val="right"/>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1,145,421.72</w:t>
            </w:r>
          </w:p>
        </w:tc>
        <w:tc>
          <w:tcPr>
            <w:tcW w:w="1274" w:type="dxa"/>
            <w:tcBorders>
              <w:top w:val="nil"/>
              <w:left w:val="nil"/>
              <w:bottom w:val="double" w:sz="6" w:space="0" w:color="auto"/>
              <w:right w:val="double" w:sz="6" w:space="0" w:color="auto"/>
            </w:tcBorders>
            <w:shd w:val="clear" w:color="auto" w:fill="auto"/>
            <w:noWrap/>
            <w:vAlign w:val="center"/>
            <w:hideMark/>
          </w:tcPr>
          <w:p w14:paraId="2F00E80F" w14:textId="77777777" w:rsidR="00832807" w:rsidRPr="00832807" w:rsidRDefault="00832807" w:rsidP="00832807">
            <w:pPr>
              <w:spacing w:line="240" w:lineRule="auto"/>
              <w:jc w:val="right"/>
              <w:rPr>
                <w:rFonts w:eastAsia="Times New Roman" w:cs="Times New Roman"/>
                <w:b/>
                <w:bCs/>
                <w:color w:val="000000"/>
                <w:sz w:val="20"/>
                <w:szCs w:val="20"/>
                <w:lang w:eastAsia="es-GT"/>
              </w:rPr>
            </w:pPr>
            <w:r w:rsidRPr="00832807">
              <w:rPr>
                <w:rFonts w:eastAsia="Times New Roman" w:cs="Times New Roman"/>
                <w:b/>
                <w:bCs/>
                <w:color w:val="000000"/>
                <w:sz w:val="20"/>
                <w:szCs w:val="20"/>
                <w:lang w:eastAsia="es-GT"/>
              </w:rPr>
              <w:t>2,864,758.28</w:t>
            </w:r>
          </w:p>
        </w:tc>
      </w:tr>
    </w:tbl>
    <w:p w14:paraId="573FB174" w14:textId="77777777" w:rsidR="003E7E98" w:rsidRPr="00064CF7" w:rsidRDefault="003E7E98" w:rsidP="003E7E98">
      <w:pPr>
        <w:jc w:val="center"/>
        <w:rPr>
          <w:sz w:val="20"/>
        </w:rPr>
      </w:pPr>
      <w:r w:rsidRPr="00064CF7">
        <w:rPr>
          <w:b/>
          <w:sz w:val="20"/>
        </w:rPr>
        <w:t>Fuente</w:t>
      </w:r>
      <w:r w:rsidRPr="00064CF7">
        <w:rPr>
          <w:sz w:val="20"/>
        </w:rPr>
        <w:t>: Unidad de Administración Financiera –UD</w:t>
      </w:r>
      <w:r w:rsidR="006A60AA">
        <w:rPr>
          <w:sz w:val="20"/>
        </w:rPr>
        <w:t>AF–, Ministerio de Gobernación.</w:t>
      </w:r>
      <w:r w:rsidR="00FC3F64">
        <w:rPr>
          <w:sz w:val="20"/>
        </w:rPr>
        <w:t xml:space="preserve"> </w:t>
      </w:r>
      <w:r w:rsidR="008A1919">
        <w:rPr>
          <w:sz w:val="20"/>
        </w:rPr>
        <w:t>Abril 2023</w:t>
      </w:r>
      <w:r w:rsidR="00FC3F64">
        <w:rPr>
          <w:sz w:val="20"/>
        </w:rPr>
        <w:t>.</w:t>
      </w:r>
    </w:p>
    <w:p w14:paraId="41878409" w14:textId="77777777" w:rsidR="000848DF" w:rsidRPr="00064CF7" w:rsidRDefault="000848DF" w:rsidP="000848DF"/>
    <w:p w14:paraId="06E11F65" w14:textId="77777777" w:rsidR="0041103D" w:rsidRPr="00064CF7" w:rsidRDefault="008A1919" w:rsidP="0041103D">
      <w:pPr>
        <w:jc w:val="center"/>
      </w:pPr>
      <w:r>
        <w:rPr>
          <w:noProof/>
          <w:lang w:eastAsia="es-GT"/>
        </w:rPr>
        <w:drawing>
          <wp:inline distT="0" distB="0" distL="0" distR="0" wp14:anchorId="73D9FA9D" wp14:editId="0C7059B1">
            <wp:extent cx="4867274" cy="2952750"/>
            <wp:effectExtent l="0" t="0" r="1016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57E1C2B" w14:textId="77777777" w:rsidR="003E7E98" w:rsidRPr="00064CF7" w:rsidRDefault="003E7E98" w:rsidP="003E7E98">
      <w:pPr>
        <w:jc w:val="center"/>
        <w:rPr>
          <w:sz w:val="20"/>
        </w:rPr>
      </w:pPr>
      <w:r w:rsidRPr="00064CF7">
        <w:rPr>
          <w:b/>
          <w:sz w:val="20"/>
        </w:rPr>
        <w:t>Fuente</w:t>
      </w:r>
      <w:r w:rsidRPr="00064CF7">
        <w:rPr>
          <w:sz w:val="20"/>
        </w:rPr>
        <w:t xml:space="preserve">: Unidad de Administración Financiera –UDAF–, Ministerio de Gobernación. </w:t>
      </w:r>
      <w:r w:rsidR="008A1919">
        <w:rPr>
          <w:sz w:val="20"/>
        </w:rPr>
        <w:t>Abril 2023.</w:t>
      </w:r>
    </w:p>
    <w:p w14:paraId="520B531E" w14:textId="77777777" w:rsidR="000848DF" w:rsidRPr="00064CF7" w:rsidRDefault="000848DF" w:rsidP="000848DF"/>
    <w:p w14:paraId="17809A44" w14:textId="77777777" w:rsidR="009F7926" w:rsidRPr="00064CF7" w:rsidRDefault="009F7926" w:rsidP="000848DF"/>
    <w:p w14:paraId="3BAAD98D" w14:textId="77777777" w:rsidR="00960274" w:rsidRPr="00064CF7" w:rsidRDefault="00960274">
      <w:pPr>
        <w:spacing w:after="160" w:line="259" w:lineRule="auto"/>
        <w:jc w:val="left"/>
      </w:pPr>
      <w:r w:rsidRPr="00064CF7">
        <w:rPr>
          <w:b/>
        </w:rPr>
        <w:br w:type="page"/>
      </w:r>
    </w:p>
    <w:p w14:paraId="2468CE91" w14:textId="77777777" w:rsidR="0091030B" w:rsidRPr="00064CF7" w:rsidRDefault="0091030B" w:rsidP="0091030B">
      <w:pPr>
        <w:pStyle w:val="Ttulo1"/>
        <w:numPr>
          <w:ilvl w:val="0"/>
          <w:numId w:val="5"/>
        </w:numPr>
        <w:ind w:left="357" w:hanging="357"/>
        <w:rPr>
          <w:rFonts w:eastAsia="Montserrat" w:cs="Arial"/>
        </w:rPr>
      </w:pPr>
      <w:bookmarkStart w:id="12" w:name="_Toc133916096"/>
      <w:r w:rsidRPr="00064CF7">
        <w:rPr>
          <w:rFonts w:eastAsia="Montserrat" w:cs="Arial"/>
        </w:rPr>
        <w:lastRenderedPageBreak/>
        <w:t>Gráfica y descripción del presupuesto asignado, vigente, ejecutado y saldo por ejecutar del grupo de gasto de servicios personales (grupo 0).</w:t>
      </w:r>
      <w:bookmarkEnd w:id="12"/>
    </w:p>
    <w:p w14:paraId="63C94A12" w14:textId="77777777" w:rsidR="0041103D" w:rsidRPr="00064CF7" w:rsidRDefault="0041103D" w:rsidP="0041103D"/>
    <w:p w14:paraId="3C2B73A0" w14:textId="77777777" w:rsidR="0041103D" w:rsidRPr="00064CF7" w:rsidRDefault="008A1919" w:rsidP="0041103D">
      <w:pPr>
        <w:jc w:val="center"/>
      </w:pPr>
      <w:r>
        <w:rPr>
          <w:noProof/>
          <w:lang w:eastAsia="es-GT"/>
        </w:rPr>
        <w:drawing>
          <wp:inline distT="0" distB="0" distL="0" distR="0" wp14:anchorId="4D2D8A21" wp14:editId="671901FB">
            <wp:extent cx="4867274" cy="2952750"/>
            <wp:effectExtent l="0" t="0" r="1016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9FF87DB" w14:textId="77777777" w:rsidR="003E7E98" w:rsidRPr="00064CF7" w:rsidRDefault="003E7E98" w:rsidP="003E7E98">
      <w:pPr>
        <w:jc w:val="center"/>
        <w:rPr>
          <w:sz w:val="20"/>
        </w:rPr>
      </w:pPr>
      <w:r w:rsidRPr="00064CF7">
        <w:rPr>
          <w:b/>
          <w:sz w:val="20"/>
        </w:rPr>
        <w:t>Fuente</w:t>
      </w:r>
      <w:r w:rsidRPr="00064CF7">
        <w:rPr>
          <w:sz w:val="20"/>
        </w:rPr>
        <w:t xml:space="preserve">: Unidad de Administración Financiera –UDAF–, Ministerio de Gobernación. </w:t>
      </w:r>
      <w:r w:rsidR="008A1919">
        <w:rPr>
          <w:sz w:val="20"/>
        </w:rPr>
        <w:t>Abril 2023.</w:t>
      </w:r>
    </w:p>
    <w:p w14:paraId="0B0BC862" w14:textId="77777777" w:rsidR="0041103D" w:rsidRPr="00064CF7" w:rsidRDefault="0041103D" w:rsidP="0041103D"/>
    <w:p w14:paraId="5E1319B0" w14:textId="77777777" w:rsidR="0091030B" w:rsidRPr="00064CF7" w:rsidRDefault="0091030B" w:rsidP="0091030B">
      <w:pPr>
        <w:pStyle w:val="Ttulo1"/>
        <w:numPr>
          <w:ilvl w:val="0"/>
          <w:numId w:val="5"/>
        </w:numPr>
        <w:ind w:left="357" w:hanging="357"/>
        <w:rPr>
          <w:rFonts w:eastAsia="Montserrat" w:cs="Arial"/>
        </w:rPr>
      </w:pPr>
      <w:bookmarkStart w:id="13" w:name="_Toc133916097"/>
      <w:r w:rsidRPr="00064CF7">
        <w:rPr>
          <w:rFonts w:eastAsia="Montserrat" w:cs="Arial"/>
        </w:rPr>
        <w:t>Explicación de la importancia de la erogación en servicios personales</w:t>
      </w:r>
      <w:bookmarkEnd w:id="13"/>
    </w:p>
    <w:p w14:paraId="1DCD56B9" w14:textId="77777777" w:rsidR="0041103D" w:rsidRPr="00064CF7" w:rsidRDefault="0041103D" w:rsidP="0041103D"/>
    <w:p w14:paraId="6984AC41" w14:textId="77777777" w:rsidR="0041103D" w:rsidRPr="00064CF7" w:rsidRDefault="00FF6BD9" w:rsidP="0041103D">
      <w:r w:rsidRPr="007C6BCE">
        <w:t>La importancia de la erogación en servicios personales, está destinada a mejorar cualitativamente el recurso humano, por lo general, mediante programas de educación, ciencia y cultura; salud y asistencia social; y, trabajo y previsión social, de esta manera se establecen las bases para mejorar el factor trabajo, y brindar un servicio de calidad a la población del departamento.</w:t>
      </w:r>
    </w:p>
    <w:p w14:paraId="21D12A88" w14:textId="77777777" w:rsidR="009F7926" w:rsidRPr="00064CF7" w:rsidRDefault="009F7926" w:rsidP="0041103D"/>
    <w:p w14:paraId="705972FA" w14:textId="77777777" w:rsidR="009F7926" w:rsidRPr="00064CF7" w:rsidRDefault="009F7926" w:rsidP="0041103D"/>
    <w:p w14:paraId="329CDD47" w14:textId="77777777" w:rsidR="00960274" w:rsidRPr="00064CF7" w:rsidRDefault="00960274">
      <w:pPr>
        <w:spacing w:after="160" w:line="259" w:lineRule="auto"/>
        <w:jc w:val="left"/>
      </w:pPr>
      <w:r w:rsidRPr="00064CF7">
        <w:rPr>
          <w:b/>
        </w:rPr>
        <w:br w:type="page"/>
      </w:r>
    </w:p>
    <w:p w14:paraId="46E1BB65" w14:textId="77777777" w:rsidR="0091030B" w:rsidRPr="0075311A" w:rsidRDefault="0091030B" w:rsidP="0091030B">
      <w:pPr>
        <w:pStyle w:val="Ttulo1"/>
        <w:numPr>
          <w:ilvl w:val="0"/>
          <w:numId w:val="5"/>
        </w:numPr>
        <w:ind w:left="357" w:hanging="357"/>
        <w:rPr>
          <w:rFonts w:eastAsia="Montserrat" w:cs="Arial"/>
        </w:rPr>
      </w:pPr>
      <w:bookmarkStart w:id="14" w:name="_Toc133916098"/>
      <w:r w:rsidRPr="0075311A">
        <w:rPr>
          <w:rFonts w:eastAsia="Montserrat" w:cs="Arial"/>
        </w:rPr>
        <w:lastRenderedPageBreak/>
        <w:t>Gráfica y descripción del presupuesto vigente, ejecutado y saldo por ejecutar de la inversión en general.</w:t>
      </w:r>
      <w:bookmarkEnd w:id="14"/>
    </w:p>
    <w:p w14:paraId="5CDED9EC" w14:textId="77777777" w:rsidR="0041103D" w:rsidRDefault="0041103D" w:rsidP="0041103D">
      <w:pPr>
        <w:rPr>
          <w:highlight w:val="yellow"/>
        </w:rPr>
      </w:pPr>
    </w:p>
    <w:p w14:paraId="6C5B1078" w14:textId="77777777" w:rsidR="0075311A" w:rsidRPr="007C6BCE" w:rsidRDefault="008A1919" w:rsidP="0075311A">
      <w:pPr>
        <w:jc w:val="center"/>
        <w:rPr>
          <w:highlight w:val="yellow"/>
        </w:rPr>
      </w:pPr>
      <w:r>
        <w:rPr>
          <w:noProof/>
          <w:lang w:eastAsia="es-GT"/>
        </w:rPr>
        <w:drawing>
          <wp:inline distT="0" distB="0" distL="0" distR="0" wp14:anchorId="456DECE6" wp14:editId="252610EB">
            <wp:extent cx="4629148" cy="2881315"/>
            <wp:effectExtent l="0" t="0" r="635" b="14605"/>
            <wp:docPr id="13" name="Gráfico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C93AE59" w14:textId="77777777" w:rsidR="003E7E98" w:rsidRPr="00064CF7" w:rsidRDefault="003E7E98" w:rsidP="003E7E98">
      <w:pPr>
        <w:jc w:val="center"/>
        <w:rPr>
          <w:sz w:val="20"/>
        </w:rPr>
      </w:pPr>
      <w:r w:rsidRPr="0075311A">
        <w:rPr>
          <w:b/>
          <w:sz w:val="20"/>
        </w:rPr>
        <w:t>Fuente</w:t>
      </w:r>
      <w:r w:rsidRPr="0075311A">
        <w:rPr>
          <w:sz w:val="20"/>
        </w:rPr>
        <w:t>: Unidad de Administración Financiera –UD</w:t>
      </w:r>
      <w:r w:rsidR="00D276A0">
        <w:rPr>
          <w:sz w:val="20"/>
        </w:rPr>
        <w:t xml:space="preserve">AF–, </w:t>
      </w:r>
      <w:r w:rsidR="002B62E3">
        <w:rPr>
          <w:sz w:val="20"/>
        </w:rPr>
        <w:t xml:space="preserve">Ministerio de Gobernación. </w:t>
      </w:r>
      <w:r w:rsidR="008A1919">
        <w:rPr>
          <w:sz w:val="20"/>
        </w:rPr>
        <w:t>Abril 2023.</w:t>
      </w:r>
    </w:p>
    <w:p w14:paraId="489475C2" w14:textId="77777777" w:rsidR="0041103D" w:rsidRPr="00064CF7" w:rsidRDefault="0041103D" w:rsidP="0041103D"/>
    <w:p w14:paraId="02765CD6" w14:textId="77777777" w:rsidR="0091030B" w:rsidRPr="00064CF7" w:rsidRDefault="0091030B" w:rsidP="0091030B">
      <w:pPr>
        <w:pStyle w:val="Ttulo1"/>
        <w:numPr>
          <w:ilvl w:val="0"/>
          <w:numId w:val="5"/>
        </w:numPr>
        <w:ind w:left="357" w:hanging="357"/>
        <w:rPr>
          <w:rFonts w:eastAsia="Montserrat" w:cs="Arial"/>
        </w:rPr>
      </w:pPr>
      <w:bookmarkStart w:id="15" w:name="_Toc133916099"/>
      <w:r w:rsidRPr="00064CF7">
        <w:rPr>
          <w:rFonts w:eastAsia="Montserrat" w:cs="Arial"/>
        </w:rPr>
        <w:t>Gráfica y descripción del presupuesto vigente, ejecutado y saldo por ejecutar por finalidad.</w:t>
      </w:r>
      <w:bookmarkEnd w:id="15"/>
    </w:p>
    <w:p w14:paraId="11D42A8D" w14:textId="77777777" w:rsidR="005877E7" w:rsidRPr="00064CF7" w:rsidRDefault="005877E7" w:rsidP="005877E7"/>
    <w:p w14:paraId="13712E88" w14:textId="77777777" w:rsidR="005877E7" w:rsidRPr="00064CF7" w:rsidRDefault="008A1919" w:rsidP="005877E7">
      <w:pPr>
        <w:jc w:val="center"/>
      </w:pPr>
      <w:r>
        <w:rPr>
          <w:noProof/>
          <w:lang w:eastAsia="es-GT"/>
        </w:rPr>
        <w:drawing>
          <wp:inline distT="0" distB="0" distL="0" distR="0" wp14:anchorId="4063C749" wp14:editId="4EE11309">
            <wp:extent cx="4886325" cy="2843213"/>
            <wp:effectExtent l="0" t="0" r="9525" b="1460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812D093" w14:textId="77777777" w:rsidR="003E7E98" w:rsidRPr="00064CF7" w:rsidRDefault="003E7E98" w:rsidP="003E7E98">
      <w:pPr>
        <w:jc w:val="center"/>
        <w:rPr>
          <w:sz w:val="20"/>
        </w:rPr>
      </w:pPr>
      <w:r w:rsidRPr="00064CF7">
        <w:rPr>
          <w:b/>
          <w:sz w:val="20"/>
        </w:rPr>
        <w:t>Fuente</w:t>
      </w:r>
      <w:r w:rsidRPr="00064CF7">
        <w:rPr>
          <w:sz w:val="20"/>
        </w:rPr>
        <w:t>: Unidad de Administración Financiera –UD</w:t>
      </w:r>
      <w:r w:rsidR="00C536C7">
        <w:rPr>
          <w:sz w:val="20"/>
        </w:rPr>
        <w:t xml:space="preserve">AF–, Ministerio de Gobernación. </w:t>
      </w:r>
      <w:r w:rsidR="008A1919">
        <w:rPr>
          <w:sz w:val="20"/>
        </w:rPr>
        <w:t>Abril 2023.</w:t>
      </w:r>
    </w:p>
    <w:p w14:paraId="04D887F3" w14:textId="77777777" w:rsidR="0091030B" w:rsidRPr="00C22D7C" w:rsidRDefault="0091030B" w:rsidP="0091030B">
      <w:pPr>
        <w:pStyle w:val="Ttulo1"/>
        <w:numPr>
          <w:ilvl w:val="0"/>
          <w:numId w:val="5"/>
        </w:numPr>
        <w:ind w:left="357" w:hanging="357"/>
        <w:rPr>
          <w:rFonts w:eastAsia="Montserrat" w:cs="Arial"/>
        </w:rPr>
      </w:pPr>
      <w:bookmarkStart w:id="16" w:name="_Toc133916100"/>
      <w:r w:rsidRPr="00C22D7C">
        <w:rPr>
          <w:rFonts w:eastAsia="Montserrat" w:cs="Arial"/>
        </w:rPr>
        <w:lastRenderedPageBreak/>
        <w:t>Explicación de la ejecución presupuestaria por su finalidad.</w:t>
      </w:r>
      <w:bookmarkEnd w:id="16"/>
    </w:p>
    <w:p w14:paraId="01E4222A" w14:textId="77777777" w:rsidR="0091030B" w:rsidRPr="00C22D7C" w:rsidRDefault="0091030B" w:rsidP="0091030B"/>
    <w:p w14:paraId="27FF512B" w14:textId="77777777" w:rsidR="00FF6BD9" w:rsidRPr="00064CF7" w:rsidRDefault="00FF6BD9" w:rsidP="0091030B">
      <w:r w:rsidRPr="00C22D7C">
        <w:t>El presupuesto de la Gobernación Departamental, se destina a la gestión administrativa, para la prestación de servicios y así dar cumplimiento a las competencias asignadas en diversas leyes</w:t>
      </w:r>
      <w:r w:rsidR="007E4932" w:rsidRPr="00C22D7C">
        <w:t>,</w:t>
      </w:r>
      <w:r w:rsidRPr="00C22D7C">
        <w:t xml:space="preserve"> </w:t>
      </w:r>
      <w:r w:rsidR="007E4932" w:rsidRPr="00C22D7C">
        <w:t>l</w:t>
      </w:r>
      <w:r w:rsidRPr="00C22D7C">
        <w:t>a finalidad de</w:t>
      </w:r>
      <w:r w:rsidR="007E4932" w:rsidRPr="00C22D7C">
        <w:t>l presupuesto</w:t>
      </w:r>
      <w:r w:rsidRPr="00C22D7C">
        <w:t xml:space="preserve"> </w:t>
      </w:r>
      <w:r w:rsidR="00253DB8" w:rsidRPr="00C22D7C">
        <w:t xml:space="preserve">de </w:t>
      </w:r>
      <w:r w:rsidRPr="00C22D7C">
        <w:t xml:space="preserve">la Gobernación Departamental de </w:t>
      </w:r>
      <w:r w:rsidR="001A073B">
        <w:t>Sacatepéquez</w:t>
      </w:r>
      <w:r w:rsidR="008A1919">
        <w:t xml:space="preserve"> </w:t>
      </w:r>
      <w:r w:rsidRPr="00C22D7C">
        <w:t xml:space="preserve">es Servicios Públicos </w:t>
      </w:r>
      <w:r w:rsidR="002D4E17">
        <w:t>G</w:t>
      </w:r>
      <w:r w:rsidRPr="00C22D7C">
        <w:t>enerales, la cual ejecut</w:t>
      </w:r>
      <w:r w:rsidR="00057DF9" w:rsidRPr="00C22D7C">
        <w:t>ó</w:t>
      </w:r>
      <w:r w:rsidRPr="00C22D7C">
        <w:t xml:space="preserve"> el </w:t>
      </w:r>
      <w:r w:rsidR="008A1919">
        <w:t>28.56</w:t>
      </w:r>
      <w:r w:rsidR="00057DF9" w:rsidRPr="00C22D7C">
        <w:t>%.</w:t>
      </w:r>
    </w:p>
    <w:p w14:paraId="08D9A309" w14:textId="77777777" w:rsidR="00F94A5E" w:rsidRPr="00064CF7" w:rsidRDefault="00F94A5E" w:rsidP="0091030B"/>
    <w:p w14:paraId="20505488" w14:textId="77777777" w:rsidR="0091030B" w:rsidRPr="00DA6144" w:rsidRDefault="0091030B" w:rsidP="0091030B">
      <w:pPr>
        <w:pStyle w:val="Ttulo1"/>
        <w:rPr>
          <w:rFonts w:eastAsia="Montserrat"/>
          <w:sz w:val="14"/>
        </w:rPr>
      </w:pPr>
      <w:bookmarkStart w:id="17" w:name="_Toc133916101"/>
      <w:r w:rsidRPr="00DA6144">
        <w:rPr>
          <w:rFonts w:eastAsia="Montserrat"/>
        </w:rPr>
        <w:t>PARTE ESPECÍFICA: PRINCIPALES LOGROS INSTITUCIONALES</w:t>
      </w:r>
      <w:bookmarkEnd w:id="17"/>
    </w:p>
    <w:p w14:paraId="44C7AB17" w14:textId="77777777" w:rsidR="0091030B" w:rsidRPr="0015168C" w:rsidRDefault="0091030B" w:rsidP="0091030B">
      <w:pPr>
        <w:rPr>
          <w:sz w:val="22"/>
        </w:rPr>
      </w:pPr>
    </w:p>
    <w:p w14:paraId="3AFB6859" w14:textId="77777777" w:rsidR="0091030B" w:rsidRPr="00DA6144" w:rsidRDefault="0091030B" w:rsidP="0091030B">
      <w:pPr>
        <w:pStyle w:val="Ttulo1"/>
        <w:numPr>
          <w:ilvl w:val="0"/>
          <w:numId w:val="5"/>
        </w:numPr>
        <w:ind w:left="357" w:hanging="357"/>
        <w:rPr>
          <w:rFonts w:eastAsia="Montserrat" w:cs="Arial"/>
        </w:rPr>
      </w:pPr>
      <w:bookmarkStart w:id="18" w:name="_Toc133916102"/>
      <w:r w:rsidRPr="00DA6144">
        <w:rPr>
          <w:rFonts w:eastAsia="Montserrat" w:cs="Arial"/>
        </w:rPr>
        <w:t xml:space="preserve">Descripción de los principales servicios </w:t>
      </w:r>
      <w:r w:rsidR="002E296E" w:rsidRPr="00DA6144">
        <w:rPr>
          <w:rFonts w:eastAsia="Montserrat" w:cs="Arial"/>
        </w:rPr>
        <w:t>realizados</w:t>
      </w:r>
      <w:bookmarkEnd w:id="18"/>
    </w:p>
    <w:p w14:paraId="59DEF3C0" w14:textId="77777777" w:rsidR="00A87B33" w:rsidRPr="0015168C" w:rsidRDefault="00A87B33" w:rsidP="00A87B33">
      <w:pPr>
        <w:rPr>
          <w:sz w:val="20"/>
        </w:rPr>
      </w:pPr>
    </w:p>
    <w:p w14:paraId="5939E949" w14:textId="77777777" w:rsidR="008333DD" w:rsidRDefault="00DA6144" w:rsidP="00DA6144">
      <w:r w:rsidRPr="00DA6144">
        <w:t>Considerando la importancia del gobierno departamental por medio de las Gobernaciones Departamentales, a continuación se presenta la tabla con el consolidado de logros</w:t>
      </w:r>
      <w:r>
        <w:t xml:space="preserve"> institucionales: </w:t>
      </w:r>
    </w:p>
    <w:p w14:paraId="1DB77BE0" w14:textId="77777777" w:rsidR="0015168C" w:rsidRDefault="0015168C" w:rsidP="00DA6144"/>
    <w:tbl>
      <w:tblPr>
        <w:tblW w:w="5000" w:type="pct"/>
        <w:tblCellMar>
          <w:left w:w="70" w:type="dxa"/>
          <w:right w:w="70" w:type="dxa"/>
        </w:tblCellMar>
        <w:tblLook w:val="04A0" w:firstRow="1" w:lastRow="0" w:firstColumn="1" w:lastColumn="0" w:noHBand="0" w:noVBand="1"/>
      </w:tblPr>
      <w:tblGrid>
        <w:gridCol w:w="989"/>
        <w:gridCol w:w="7839"/>
      </w:tblGrid>
      <w:tr w:rsidR="00DA6144" w:rsidRPr="00DA6144" w14:paraId="69A4FBD9" w14:textId="77777777" w:rsidTr="00DA6144">
        <w:trPr>
          <w:trHeight w:val="315"/>
        </w:trPr>
        <w:tc>
          <w:tcPr>
            <w:tcW w:w="5000" w:type="pct"/>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317F880" w14:textId="77777777" w:rsidR="00DA6144" w:rsidRPr="00DA6144" w:rsidRDefault="00DA6144" w:rsidP="00DA6144">
            <w:pPr>
              <w:spacing w:line="240" w:lineRule="auto"/>
              <w:jc w:val="center"/>
              <w:rPr>
                <w:rFonts w:eastAsia="Times New Roman" w:cs="Times New Roman"/>
                <w:b/>
                <w:bCs/>
                <w:color w:val="FFFFFF"/>
                <w:szCs w:val="24"/>
                <w:lang w:eastAsia="es-GT"/>
              </w:rPr>
            </w:pPr>
            <w:r w:rsidRPr="00DA6144">
              <w:rPr>
                <w:rFonts w:eastAsia="Times New Roman" w:cs="Times New Roman"/>
                <w:b/>
                <w:bCs/>
                <w:color w:val="FFFFFF"/>
                <w:szCs w:val="24"/>
                <w:lang w:eastAsia="es-GT"/>
              </w:rPr>
              <w:t>Logro institucional</w:t>
            </w:r>
          </w:p>
        </w:tc>
      </w:tr>
      <w:tr w:rsidR="00DA6144" w:rsidRPr="00DA6144" w14:paraId="5D3342B3" w14:textId="77777777" w:rsidTr="00896586">
        <w:trPr>
          <w:trHeight w:val="1500"/>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795E9A41" w14:textId="77777777" w:rsidR="00DA6144" w:rsidRPr="00DA6144" w:rsidRDefault="00DA6144" w:rsidP="00DA6144">
            <w:pPr>
              <w:spacing w:line="240" w:lineRule="auto"/>
              <w:jc w:val="center"/>
              <w:rPr>
                <w:rFonts w:eastAsia="Times New Roman" w:cs="Times New Roman"/>
                <w:color w:val="000000"/>
                <w:szCs w:val="24"/>
                <w:lang w:eastAsia="es-GT"/>
              </w:rPr>
            </w:pPr>
            <w:r w:rsidRPr="00DA6144">
              <w:rPr>
                <w:rFonts w:eastAsia="Times New Roman" w:cs="Times New Roman"/>
                <w:color w:val="000000"/>
                <w:szCs w:val="24"/>
                <w:lang w:eastAsia="es-GT"/>
              </w:rPr>
              <w:t>1</w:t>
            </w:r>
          </w:p>
        </w:tc>
        <w:tc>
          <w:tcPr>
            <w:tcW w:w="4440" w:type="pct"/>
            <w:tcBorders>
              <w:top w:val="nil"/>
              <w:left w:val="nil"/>
              <w:bottom w:val="single" w:sz="4" w:space="0" w:color="auto"/>
              <w:right w:val="single" w:sz="4" w:space="0" w:color="auto"/>
            </w:tcBorders>
            <w:shd w:val="clear" w:color="auto" w:fill="auto"/>
            <w:vAlign w:val="center"/>
            <w:hideMark/>
          </w:tcPr>
          <w:p w14:paraId="3D50BB6E" w14:textId="77777777" w:rsidR="00DA6144" w:rsidRPr="00EF5A0C" w:rsidRDefault="00EF5A0C" w:rsidP="00EF5A0C">
            <w:pPr>
              <w:rPr>
                <w:rFonts w:eastAsia="Times New Roman" w:cs="Times New Roman"/>
                <w:color w:val="000000"/>
                <w:sz w:val="22"/>
                <w:lang w:eastAsia="es-GT"/>
              </w:rPr>
            </w:pPr>
            <w:r w:rsidRPr="00EF5A0C">
              <w:rPr>
                <w:rFonts w:eastAsia="Times New Roman" w:cs="Times New Roman"/>
                <w:color w:val="000000"/>
                <w:sz w:val="22"/>
                <w:lang w:eastAsia="es-GT"/>
              </w:rPr>
              <w:t>Se coordinaron acciones por medio de la Comisión Departamental de Seguridad Alimentaria y Nutricional del Departamento de Sacatepéquez, con el objetivo de dar seguimiento al tema de niños con desnutrición aguda del Departamento de Sacatepéquez, estableciéndose mesas de trabajo con autoridades municipales para abordar la problemática respectiva.</w:t>
            </w:r>
          </w:p>
        </w:tc>
      </w:tr>
      <w:tr w:rsidR="00DA6144" w:rsidRPr="00DA6144" w14:paraId="2A8BF5EE" w14:textId="77777777" w:rsidTr="00896586">
        <w:trPr>
          <w:trHeight w:val="1394"/>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292C1C5" w14:textId="77777777" w:rsidR="00DA6144" w:rsidRPr="00DA6144" w:rsidRDefault="00DA6144" w:rsidP="00DA6144">
            <w:pPr>
              <w:spacing w:line="240" w:lineRule="auto"/>
              <w:jc w:val="center"/>
              <w:rPr>
                <w:rFonts w:eastAsia="Times New Roman" w:cs="Times New Roman"/>
                <w:color w:val="000000"/>
                <w:szCs w:val="24"/>
                <w:lang w:eastAsia="es-GT"/>
              </w:rPr>
            </w:pPr>
            <w:r w:rsidRPr="00DA6144">
              <w:rPr>
                <w:rFonts w:eastAsia="Times New Roman" w:cs="Times New Roman"/>
                <w:color w:val="000000"/>
                <w:szCs w:val="24"/>
                <w:lang w:eastAsia="es-GT"/>
              </w:rPr>
              <w:t>2</w:t>
            </w:r>
          </w:p>
        </w:tc>
        <w:tc>
          <w:tcPr>
            <w:tcW w:w="4440" w:type="pct"/>
            <w:tcBorders>
              <w:top w:val="nil"/>
              <w:left w:val="nil"/>
              <w:bottom w:val="single" w:sz="4" w:space="0" w:color="auto"/>
              <w:right w:val="single" w:sz="4" w:space="0" w:color="auto"/>
            </w:tcBorders>
            <w:shd w:val="clear" w:color="auto" w:fill="auto"/>
            <w:vAlign w:val="center"/>
            <w:hideMark/>
          </w:tcPr>
          <w:p w14:paraId="232055E5" w14:textId="77777777" w:rsidR="00DA6144" w:rsidRPr="00EF5A0C" w:rsidRDefault="00EF5A0C" w:rsidP="00EF5A0C">
            <w:pPr>
              <w:rPr>
                <w:rFonts w:eastAsia="Times New Roman" w:cs="Times New Roman"/>
                <w:color w:val="000000"/>
                <w:sz w:val="22"/>
                <w:szCs w:val="24"/>
                <w:lang w:eastAsia="es-GT"/>
              </w:rPr>
            </w:pPr>
            <w:r w:rsidRPr="00EF5A0C">
              <w:rPr>
                <w:rFonts w:eastAsia="Times New Roman" w:cs="Times New Roman"/>
                <w:color w:val="000000"/>
                <w:sz w:val="22"/>
                <w:szCs w:val="24"/>
                <w:lang w:eastAsia="es-GT"/>
              </w:rPr>
              <w:t>Se llevó a cabo reunión de la mesa departamental de Seguridad, con el Gobernador Departamental, jefe de la Policía Nacional Civil Comisaría 74. Delegada del Ministerio Publico, delegado del Ministerio de Educación y delegado del Ejército Nacional, con el objetivo de monitorear la conflictividad en el proceso de Elecciones Generales 2023, en el departamento de Sacatepéquez.</w:t>
            </w:r>
          </w:p>
        </w:tc>
      </w:tr>
      <w:tr w:rsidR="00DA6144" w:rsidRPr="00DA6144" w14:paraId="11F74BF2" w14:textId="77777777" w:rsidTr="00CF3F3C">
        <w:trPr>
          <w:trHeight w:val="1701"/>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66666BA" w14:textId="77777777" w:rsidR="00DA6144" w:rsidRPr="00DA6144" w:rsidRDefault="00DA6144" w:rsidP="00DA6144">
            <w:pPr>
              <w:spacing w:line="240" w:lineRule="auto"/>
              <w:jc w:val="center"/>
              <w:rPr>
                <w:rFonts w:eastAsia="Times New Roman" w:cs="Times New Roman"/>
                <w:color w:val="000000"/>
                <w:szCs w:val="24"/>
                <w:lang w:eastAsia="es-GT"/>
              </w:rPr>
            </w:pPr>
            <w:r w:rsidRPr="00DA6144">
              <w:rPr>
                <w:rFonts w:eastAsia="Times New Roman" w:cs="Times New Roman"/>
                <w:color w:val="000000"/>
                <w:szCs w:val="24"/>
                <w:lang w:eastAsia="es-GT"/>
              </w:rPr>
              <w:t>3</w:t>
            </w:r>
          </w:p>
        </w:tc>
        <w:tc>
          <w:tcPr>
            <w:tcW w:w="4440" w:type="pct"/>
            <w:tcBorders>
              <w:top w:val="nil"/>
              <w:left w:val="nil"/>
              <w:bottom w:val="single" w:sz="4" w:space="0" w:color="auto"/>
              <w:right w:val="single" w:sz="4" w:space="0" w:color="auto"/>
            </w:tcBorders>
            <w:shd w:val="clear" w:color="auto" w:fill="auto"/>
            <w:vAlign w:val="center"/>
            <w:hideMark/>
          </w:tcPr>
          <w:p w14:paraId="317FE169" w14:textId="77777777" w:rsidR="005370D3" w:rsidRPr="006D095C" w:rsidRDefault="00EF5A0C" w:rsidP="00EF5A0C">
            <w:pPr>
              <w:rPr>
                <w:rFonts w:eastAsia="Times New Roman" w:cs="Times New Roman"/>
                <w:color w:val="000000"/>
                <w:sz w:val="22"/>
                <w:lang w:eastAsia="es-GT"/>
              </w:rPr>
            </w:pPr>
            <w:r w:rsidRPr="00EF5A0C">
              <w:rPr>
                <w:rFonts w:eastAsia="Times New Roman" w:cs="Times New Roman"/>
                <w:color w:val="000000"/>
                <w:sz w:val="22"/>
                <w:lang w:eastAsia="es-GT"/>
              </w:rPr>
              <w:t xml:space="preserve">Se </w:t>
            </w:r>
            <w:r>
              <w:rPr>
                <w:rFonts w:eastAsia="Times New Roman" w:cs="Times New Roman"/>
                <w:color w:val="000000"/>
                <w:sz w:val="22"/>
                <w:lang w:eastAsia="es-GT"/>
              </w:rPr>
              <w:t>realizó</w:t>
            </w:r>
            <w:r w:rsidRPr="00EF5A0C">
              <w:rPr>
                <w:rFonts w:eastAsia="Times New Roman" w:cs="Times New Roman"/>
                <w:color w:val="000000"/>
                <w:sz w:val="22"/>
                <w:lang w:eastAsia="es-GT"/>
              </w:rPr>
              <w:t xml:space="preserve"> la Primera Reunión de la Gira Presidencial 2023, misma que fue presidida por el Secretario de Coordinación Ejecutiva de la Presidencia, Ministros y Secretarios de Estado, con el objetivo principal de dar seguimiento a las solicitudes y compromisos presidenciales que permita una efectiva comunicación y coordinación para el desarrollo de los proyectos en el Departamento de Sacatepéquez.</w:t>
            </w:r>
          </w:p>
        </w:tc>
      </w:tr>
      <w:tr w:rsidR="00DA6144" w:rsidRPr="00DA6144" w14:paraId="68854776" w14:textId="77777777" w:rsidTr="00CF3F3C">
        <w:trPr>
          <w:trHeight w:val="630"/>
        </w:trPr>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92B60" w14:textId="77777777" w:rsidR="00DA6144" w:rsidRPr="00DA6144" w:rsidRDefault="00DA6144" w:rsidP="00DA6144">
            <w:pPr>
              <w:spacing w:line="240" w:lineRule="auto"/>
              <w:jc w:val="center"/>
              <w:rPr>
                <w:rFonts w:eastAsia="Times New Roman" w:cs="Times New Roman"/>
                <w:color w:val="000000"/>
                <w:szCs w:val="24"/>
                <w:lang w:eastAsia="es-GT"/>
              </w:rPr>
            </w:pPr>
            <w:r w:rsidRPr="00DA6144">
              <w:rPr>
                <w:rFonts w:eastAsia="Times New Roman" w:cs="Times New Roman"/>
                <w:color w:val="000000"/>
                <w:szCs w:val="24"/>
                <w:lang w:eastAsia="es-GT"/>
              </w:rPr>
              <w:t>4</w:t>
            </w:r>
          </w:p>
        </w:tc>
        <w:tc>
          <w:tcPr>
            <w:tcW w:w="4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71DF02" w14:textId="77777777" w:rsidR="00DA6144" w:rsidRPr="006D095C" w:rsidRDefault="00EF5A0C" w:rsidP="00EF5A0C">
            <w:pPr>
              <w:rPr>
                <w:rFonts w:eastAsia="Times New Roman" w:cs="Times New Roman"/>
                <w:color w:val="000000"/>
                <w:sz w:val="22"/>
                <w:lang w:eastAsia="es-GT"/>
              </w:rPr>
            </w:pPr>
            <w:r w:rsidRPr="00EF5A0C">
              <w:rPr>
                <w:rFonts w:eastAsia="Times New Roman" w:cs="Times New Roman"/>
                <w:color w:val="000000"/>
                <w:sz w:val="22"/>
                <w:lang w:eastAsia="es-GT"/>
              </w:rPr>
              <w:t xml:space="preserve">Se coordinó la Mesa de Seguridad y Reducción de la Conflictividad Social Departamental, la cual tuvo como objetivo fortalecer las acciones de seguridad a través </w:t>
            </w:r>
            <w:r w:rsidRPr="00EF5A0C">
              <w:rPr>
                <w:rFonts w:eastAsia="Times New Roman" w:cs="Times New Roman"/>
                <w:color w:val="000000"/>
                <w:sz w:val="22"/>
                <w:lang w:eastAsia="es-GT"/>
              </w:rPr>
              <w:lastRenderedPageBreak/>
              <w:t>de la mesa técnica departamental, así como, disuadir posibles actos de conflictividad de manera interinstitucional.</w:t>
            </w:r>
          </w:p>
        </w:tc>
      </w:tr>
      <w:tr w:rsidR="00DA6144" w:rsidRPr="00DA6144" w14:paraId="1BB45457" w14:textId="77777777" w:rsidTr="00CF3F3C">
        <w:trPr>
          <w:trHeight w:val="630"/>
        </w:trPr>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35DBF" w14:textId="77777777" w:rsidR="00DA6144" w:rsidRPr="00DA6144" w:rsidRDefault="00DA6144" w:rsidP="00DA6144">
            <w:pPr>
              <w:spacing w:line="240" w:lineRule="auto"/>
              <w:jc w:val="center"/>
              <w:rPr>
                <w:rFonts w:eastAsia="Times New Roman" w:cs="Times New Roman"/>
                <w:color w:val="000000"/>
                <w:szCs w:val="24"/>
                <w:lang w:eastAsia="es-GT"/>
              </w:rPr>
            </w:pPr>
            <w:r w:rsidRPr="00DA6144">
              <w:rPr>
                <w:rFonts w:eastAsia="Times New Roman" w:cs="Times New Roman"/>
                <w:color w:val="000000"/>
                <w:szCs w:val="24"/>
                <w:lang w:eastAsia="es-GT"/>
              </w:rPr>
              <w:lastRenderedPageBreak/>
              <w:t>5</w:t>
            </w:r>
          </w:p>
        </w:tc>
        <w:tc>
          <w:tcPr>
            <w:tcW w:w="4440" w:type="pct"/>
            <w:tcBorders>
              <w:top w:val="single" w:sz="4" w:space="0" w:color="auto"/>
              <w:left w:val="nil"/>
              <w:bottom w:val="single" w:sz="4" w:space="0" w:color="auto"/>
              <w:right w:val="single" w:sz="4" w:space="0" w:color="auto"/>
            </w:tcBorders>
            <w:shd w:val="clear" w:color="auto" w:fill="auto"/>
            <w:vAlign w:val="center"/>
            <w:hideMark/>
          </w:tcPr>
          <w:p w14:paraId="6E004718" w14:textId="77777777" w:rsidR="00DA6144" w:rsidRPr="006D095C" w:rsidRDefault="00EF5A0C" w:rsidP="00EF5A0C">
            <w:pPr>
              <w:rPr>
                <w:rFonts w:eastAsia="Times New Roman" w:cs="Times New Roman"/>
                <w:color w:val="000000"/>
                <w:sz w:val="22"/>
                <w:lang w:eastAsia="es-GT"/>
              </w:rPr>
            </w:pPr>
            <w:r w:rsidRPr="00EF5A0C">
              <w:rPr>
                <w:rFonts w:eastAsia="Times New Roman" w:cs="Times New Roman"/>
                <w:color w:val="000000"/>
                <w:sz w:val="22"/>
                <w:lang w:eastAsia="es-GT"/>
              </w:rPr>
              <w:t>Se coordinó por medio de la Gobernación Departamental de Sa</w:t>
            </w:r>
            <w:r>
              <w:rPr>
                <w:rFonts w:eastAsia="Times New Roman" w:cs="Times New Roman"/>
                <w:color w:val="000000"/>
                <w:sz w:val="22"/>
                <w:lang w:eastAsia="es-GT"/>
              </w:rPr>
              <w:t>catepéquez, con el apoyo de la M</w:t>
            </w:r>
            <w:r w:rsidRPr="00EF5A0C">
              <w:rPr>
                <w:rFonts w:eastAsia="Times New Roman" w:cs="Times New Roman"/>
                <w:color w:val="000000"/>
                <w:sz w:val="22"/>
                <w:lang w:eastAsia="es-GT"/>
              </w:rPr>
              <w:t xml:space="preserve">unicipalidad de Santa María de Jesús, la capacitación y certificación de </w:t>
            </w:r>
            <w:r>
              <w:rPr>
                <w:rFonts w:eastAsia="Times New Roman" w:cs="Times New Roman"/>
                <w:color w:val="000000"/>
                <w:sz w:val="22"/>
                <w:lang w:eastAsia="es-GT"/>
              </w:rPr>
              <w:t>G</w:t>
            </w:r>
            <w:r w:rsidRPr="00EF5A0C">
              <w:rPr>
                <w:rFonts w:eastAsia="Times New Roman" w:cs="Times New Roman"/>
                <w:color w:val="000000"/>
                <w:sz w:val="22"/>
                <w:lang w:eastAsia="es-GT"/>
              </w:rPr>
              <w:t xml:space="preserve">uías </w:t>
            </w:r>
            <w:r>
              <w:rPr>
                <w:rFonts w:eastAsia="Times New Roman" w:cs="Times New Roman"/>
                <w:color w:val="000000"/>
                <w:sz w:val="22"/>
                <w:lang w:eastAsia="es-GT"/>
              </w:rPr>
              <w:t>C</w:t>
            </w:r>
            <w:r w:rsidRPr="00EF5A0C">
              <w:rPr>
                <w:rFonts w:eastAsia="Times New Roman" w:cs="Times New Roman"/>
                <w:color w:val="000000"/>
                <w:sz w:val="22"/>
                <w:lang w:eastAsia="es-GT"/>
              </w:rPr>
              <w:t xml:space="preserve">omunitarios de </w:t>
            </w:r>
            <w:r>
              <w:rPr>
                <w:rFonts w:eastAsia="Times New Roman" w:cs="Times New Roman"/>
                <w:color w:val="000000"/>
                <w:sz w:val="22"/>
                <w:lang w:eastAsia="es-GT"/>
              </w:rPr>
              <w:t>T</w:t>
            </w:r>
            <w:r w:rsidRPr="00EF5A0C">
              <w:rPr>
                <w:rFonts w:eastAsia="Times New Roman" w:cs="Times New Roman"/>
                <w:color w:val="000000"/>
                <w:sz w:val="22"/>
                <w:lang w:eastAsia="es-GT"/>
              </w:rPr>
              <w:t>urismo</w:t>
            </w:r>
            <w:r>
              <w:rPr>
                <w:rFonts w:eastAsia="Times New Roman" w:cs="Times New Roman"/>
                <w:color w:val="000000"/>
                <w:sz w:val="22"/>
                <w:lang w:eastAsia="es-GT"/>
              </w:rPr>
              <w:t>, con el acompañamiento del Instituto Guatemalteco de Turismo.</w:t>
            </w:r>
            <w:r w:rsidRPr="00EF5A0C">
              <w:rPr>
                <w:rFonts w:eastAsia="Times New Roman" w:cs="Times New Roman"/>
                <w:color w:val="000000"/>
                <w:sz w:val="22"/>
                <w:lang w:eastAsia="es-GT"/>
              </w:rPr>
              <w:t xml:space="preserve"> </w:t>
            </w:r>
          </w:p>
        </w:tc>
      </w:tr>
    </w:tbl>
    <w:p w14:paraId="70144161" w14:textId="77777777" w:rsidR="00DA6144" w:rsidRDefault="00DA6144" w:rsidP="00DA6144"/>
    <w:p w14:paraId="541D13C8" w14:textId="77777777" w:rsidR="00DA6144" w:rsidRDefault="00DA6144" w:rsidP="00DA6144"/>
    <w:p w14:paraId="7A8CCF12" w14:textId="77777777" w:rsidR="00DA6144" w:rsidRPr="00DA6144" w:rsidRDefault="00DA6144" w:rsidP="00DA6144"/>
    <w:p w14:paraId="06F0E991" w14:textId="77777777" w:rsidR="00C77C93" w:rsidRPr="007D0DCE" w:rsidRDefault="00C77C93">
      <w:pPr>
        <w:spacing w:after="160" w:line="259" w:lineRule="auto"/>
        <w:jc w:val="left"/>
        <w:rPr>
          <w:highlight w:val="yellow"/>
        </w:rPr>
      </w:pPr>
      <w:r w:rsidRPr="007D0DCE">
        <w:rPr>
          <w:highlight w:val="yellow"/>
        </w:rPr>
        <w:br w:type="page"/>
      </w:r>
    </w:p>
    <w:p w14:paraId="633D153F" w14:textId="77777777" w:rsidR="00906BF1" w:rsidRPr="0075311A" w:rsidRDefault="00906BF1" w:rsidP="00906BF1">
      <w:pPr>
        <w:pStyle w:val="Ttulo1"/>
      </w:pPr>
      <w:bookmarkStart w:id="19" w:name="_Toc133916103"/>
      <w:r w:rsidRPr="0075311A">
        <w:lastRenderedPageBreak/>
        <w:t>CONCLUSIONES</w:t>
      </w:r>
      <w:bookmarkEnd w:id="19"/>
    </w:p>
    <w:p w14:paraId="39650D38" w14:textId="77777777" w:rsidR="00906BF1" w:rsidRPr="0075311A" w:rsidRDefault="00906BF1" w:rsidP="00906BF1"/>
    <w:p w14:paraId="74B8F66E" w14:textId="77777777" w:rsidR="000E2F84" w:rsidRPr="0075311A" w:rsidRDefault="007B3C75" w:rsidP="000E2F84">
      <w:pPr>
        <w:pStyle w:val="Ttulo1"/>
        <w:numPr>
          <w:ilvl w:val="0"/>
          <w:numId w:val="5"/>
        </w:numPr>
        <w:ind w:left="357" w:hanging="357"/>
        <w:rPr>
          <w:rFonts w:eastAsia="Montserrat" w:cs="Arial"/>
        </w:rPr>
      </w:pPr>
      <w:bookmarkStart w:id="20" w:name="_Toc133916104"/>
      <w:r w:rsidRPr="0075311A">
        <w:rPr>
          <w:rFonts w:eastAsia="Montserrat" w:cs="Arial"/>
        </w:rPr>
        <w:t>T</w:t>
      </w:r>
      <w:r w:rsidR="000E2F84" w:rsidRPr="0075311A">
        <w:rPr>
          <w:rFonts w:eastAsia="Montserrat" w:cs="Arial"/>
        </w:rPr>
        <w:t>endencias observadas en la ejecución presupuestaria</w:t>
      </w:r>
      <w:bookmarkEnd w:id="20"/>
    </w:p>
    <w:p w14:paraId="76D2D909" w14:textId="77777777" w:rsidR="00976B73" w:rsidRPr="0075311A" w:rsidRDefault="00976B73" w:rsidP="00976B73"/>
    <w:p w14:paraId="11DD30DF" w14:textId="77777777" w:rsidR="00976B73" w:rsidRPr="0075311A" w:rsidRDefault="00976B73" w:rsidP="00976B73">
      <w:r w:rsidRPr="0075311A">
        <w:t>A continuación, se presenta la tendencia entre cuatrimestres de la ejecución presupuestaria:</w:t>
      </w:r>
    </w:p>
    <w:p w14:paraId="6DA8A590" w14:textId="77777777" w:rsidR="00976B73" w:rsidRPr="0075311A" w:rsidRDefault="00976B73" w:rsidP="00976B73"/>
    <w:tbl>
      <w:tblPr>
        <w:tblW w:w="6640" w:type="dxa"/>
        <w:jc w:val="center"/>
        <w:tblCellMar>
          <w:left w:w="70" w:type="dxa"/>
          <w:right w:w="70" w:type="dxa"/>
        </w:tblCellMar>
        <w:tblLook w:val="04A0" w:firstRow="1" w:lastRow="0" w:firstColumn="1" w:lastColumn="0" w:noHBand="0" w:noVBand="1"/>
      </w:tblPr>
      <w:tblGrid>
        <w:gridCol w:w="1200"/>
        <w:gridCol w:w="1200"/>
        <w:gridCol w:w="1295"/>
        <w:gridCol w:w="1200"/>
        <w:gridCol w:w="1840"/>
      </w:tblGrid>
      <w:tr w:rsidR="008A1919" w:rsidRPr="008A1919" w14:paraId="1477BF0E" w14:textId="77777777" w:rsidTr="008A1919">
        <w:trPr>
          <w:trHeight w:val="570"/>
          <w:jc w:val="center"/>
        </w:trPr>
        <w:tc>
          <w:tcPr>
            <w:tcW w:w="2400" w:type="dxa"/>
            <w:gridSpan w:val="2"/>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79E47B3F"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1er Cuatrimestre 2022</w:t>
            </w:r>
          </w:p>
        </w:tc>
        <w:tc>
          <w:tcPr>
            <w:tcW w:w="2400" w:type="dxa"/>
            <w:gridSpan w:val="2"/>
            <w:tcBorders>
              <w:top w:val="single" w:sz="4" w:space="0" w:color="auto"/>
              <w:left w:val="nil"/>
              <w:bottom w:val="single" w:sz="4" w:space="0" w:color="auto"/>
              <w:right w:val="single" w:sz="4" w:space="0" w:color="auto"/>
            </w:tcBorders>
            <w:shd w:val="clear" w:color="000000" w:fill="9BC2E6"/>
            <w:noWrap/>
            <w:vAlign w:val="center"/>
            <w:hideMark/>
          </w:tcPr>
          <w:p w14:paraId="4D591C7E"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1er Cuatrimestre 2023</w:t>
            </w:r>
          </w:p>
        </w:tc>
        <w:tc>
          <w:tcPr>
            <w:tcW w:w="1840" w:type="dxa"/>
            <w:vMerge w:val="restart"/>
            <w:tcBorders>
              <w:top w:val="single" w:sz="4" w:space="0" w:color="auto"/>
              <w:left w:val="single" w:sz="4" w:space="0" w:color="auto"/>
              <w:bottom w:val="single" w:sz="4" w:space="0" w:color="auto"/>
              <w:right w:val="single" w:sz="4" w:space="0" w:color="auto"/>
            </w:tcBorders>
            <w:shd w:val="clear" w:color="000000" w:fill="9BC2E6"/>
            <w:vAlign w:val="center"/>
            <w:hideMark/>
          </w:tcPr>
          <w:p w14:paraId="6EA6EA4F"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 xml:space="preserve">Diferencia % </w:t>
            </w:r>
            <w:r w:rsidRPr="008A1919">
              <w:rPr>
                <w:rFonts w:eastAsia="Times New Roman" w:cs="Times New Roman"/>
                <w:b/>
                <w:bCs/>
                <w:color w:val="000000"/>
                <w:sz w:val="22"/>
                <w:lang w:eastAsia="es-GT"/>
              </w:rPr>
              <w:br/>
              <w:t>de ejecución</w:t>
            </w:r>
            <w:r w:rsidRPr="008A1919">
              <w:rPr>
                <w:rFonts w:eastAsia="Times New Roman" w:cs="Times New Roman"/>
                <w:b/>
                <w:bCs/>
                <w:color w:val="000000"/>
                <w:sz w:val="22"/>
                <w:lang w:eastAsia="es-GT"/>
              </w:rPr>
              <w:br/>
              <w:t>2022-2023</w:t>
            </w:r>
            <w:r w:rsidRPr="008A1919">
              <w:rPr>
                <w:rFonts w:eastAsia="Times New Roman" w:cs="Times New Roman"/>
                <w:b/>
                <w:bCs/>
                <w:color w:val="000000"/>
                <w:sz w:val="22"/>
                <w:lang w:eastAsia="es-GT"/>
              </w:rPr>
              <w:br/>
              <w:t>1er Cuatrimestre</w:t>
            </w:r>
          </w:p>
        </w:tc>
      </w:tr>
      <w:tr w:rsidR="008A1919" w:rsidRPr="008A1919" w14:paraId="019B7755" w14:textId="77777777" w:rsidTr="008A1919">
        <w:trPr>
          <w:trHeight w:val="615"/>
          <w:jc w:val="center"/>
        </w:trPr>
        <w:tc>
          <w:tcPr>
            <w:tcW w:w="1200" w:type="dxa"/>
            <w:tcBorders>
              <w:top w:val="nil"/>
              <w:left w:val="single" w:sz="4" w:space="0" w:color="auto"/>
              <w:bottom w:val="single" w:sz="4" w:space="0" w:color="auto"/>
              <w:right w:val="single" w:sz="4" w:space="0" w:color="auto"/>
            </w:tcBorders>
            <w:shd w:val="clear" w:color="000000" w:fill="9BC2E6"/>
            <w:vAlign w:val="center"/>
            <w:hideMark/>
          </w:tcPr>
          <w:p w14:paraId="50E9345B"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Monto</w:t>
            </w:r>
          </w:p>
        </w:tc>
        <w:tc>
          <w:tcPr>
            <w:tcW w:w="1200" w:type="dxa"/>
            <w:tcBorders>
              <w:top w:val="nil"/>
              <w:left w:val="nil"/>
              <w:bottom w:val="single" w:sz="4" w:space="0" w:color="auto"/>
              <w:right w:val="single" w:sz="4" w:space="0" w:color="auto"/>
            </w:tcBorders>
            <w:shd w:val="clear" w:color="000000" w:fill="9BC2E6"/>
            <w:vAlign w:val="center"/>
            <w:hideMark/>
          </w:tcPr>
          <w:p w14:paraId="1D8A70B6"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Porcentaje</w:t>
            </w:r>
          </w:p>
        </w:tc>
        <w:tc>
          <w:tcPr>
            <w:tcW w:w="1200" w:type="dxa"/>
            <w:tcBorders>
              <w:top w:val="nil"/>
              <w:left w:val="nil"/>
              <w:bottom w:val="single" w:sz="4" w:space="0" w:color="auto"/>
              <w:right w:val="single" w:sz="4" w:space="0" w:color="auto"/>
            </w:tcBorders>
            <w:shd w:val="clear" w:color="000000" w:fill="9BC2E6"/>
            <w:vAlign w:val="center"/>
            <w:hideMark/>
          </w:tcPr>
          <w:p w14:paraId="6312ADF0"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Monto</w:t>
            </w:r>
          </w:p>
        </w:tc>
        <w:tc>
          <w:tcPr>
            <w:tcW w:w="1200" w:type="dxa"/>
            <w:tcBorders>
              <w:top w:val="nil"/>
              <w:left w:val="nil"/>
              <w:bottom w:val="single" w:sz="4" w:space="0" w:color="auto"/>
              <w:right w:val="single" w:sz="4" w:space="0" w:color="auto"/>
            </w:tcBorders>
            <w:shd w:val="clear" w:color="000000" w:fill="9BC2E6"/>
            <w:vAlign w:val="center"/>
            <w:hideMark/>
          </w:tcPr>
          <w:p w14:paraId="5EA7B663" w14:textId="77777777" w:rsidR="008A1919" w:rsidRPr="008A1919" w:rsidRDefault="008A1919" w:rsidP="008A1919">
            <w:pPr>
              <w:spacing w:line="240" w:lineRule="auto"/>
              <w:jc w:val="center"/>
              <w:rPr>
                <w:rFonts w:eastAsia="Times New Roman" w:cs="Times New Roman"/>
                <w:b/>
                <w:bCs/>
                <w:color w:val="000000"/>
                <w:sz w:val="22"/>
                <w:lang w:eastAsia="es-GT"/>
              </w:rPr>
            </w:pPr>
            <w:r w:rsidRPr="008A1919">
              <w:rPr>
                <w:rFonts w:eastAsia="Times New Roman" w:cs="Times New Roman"/>
                <w:b/>
                <w:bCs/>
                <w:color w:val="000000"/>
                <w:sz w:val="22"/>
                <w:lang w:eastAsia="es-GT"/>
              </w:rPr>
              <w:t>Porcentaje</w:t>
            </w:r>
          </w:p>
        </w:tc>
        <w:tc>
          <w:tcPr>
            <w:tcW w:w="1840" w:type="dxa"/>
            <w:vMerge/>
            <w:tcBorders>
              <w:top w:val="single" w:sz="4" w:space="0" w:color="auto"/>
              <w:left w:val="single" w:sz="4" w:space="0" w:color="auto"/>
              <w:bottom w:val="single" w:sz="4" w:space="0" w:color="auto"/>
              <w:right w:val="single" w:sz="4" w:space="0" w:color="auto"/>
            </w:tcBorders>
            <w:vAlign w:val="center"/>
            <w:hideMark/>
          </w:tcPr>
          <w:p w14:paraId="630CEAE0" w14:textId="77777777" w:rsidR="008A1919" w:rsidRPr="008A1919" w:rsidRDefault="008A1919" w:rsidP="008A1919">
            <w:pPr>
              <w:spacing w:line="240" w:lineRule="auto"/>
              <w:jc w:val="left"/>
              <w:rPr>
                <w:rFonts w:eastAsia="Times New Roman" w:cs="Times New Roman"/>
                <w:b/>
                <w:bCs/>
                <w:color w:val="000000"/>
                <w:sz w:val="22"/>
                <w:lang w:eastAsia="es-GT"/>
              </w:rPr>
            </w:pPr>
          </w:p>
        </w:tc>
      </w:tr>
      <w:tr w:rsidR="008A1919" w:rsidRPr="008A1919" w14:paraId="0EDDA67F" w14:textId="77777777" w:rsidTr="008A1919">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43DB732" w14:textId="77777777" w:rsidR="008A1919" w:rsidRPr="008A1919" w:rsidRDefault="008A1919" w:rsidP="008A1919">
            <w:pPr>
              <w:spacing w:line="240" w:lineRule="auto"/>
              <w:jc w:val="center"/>
              <w:rPr>
                <w:rFonts w:eastAsia="Times New Roman" w:cs="Times New Roman"/>
                <w:color w:val="000000"/>
                <w:sz w:val="22"/>
                <w:lang w:eastAsia="es-GT"/>
              </w:rPr>
            </w:pPr>
            <w:r w:rsidRPr="008A1919">
              <w:rPr>
                <w:rFonts w:eastAsia="Times New Roman" w:cs="Times New Roman"/>
                <w:color w:val="000000"/>
                <w:sz w:val="22"/>
                <w:lang w:eastAsia="es-GT"/>
              </w:rPr>
              <w:t>899,802.90</w:t>
            </w:r>
          </w:p>
        </w:tc>
        <w:tc>
          <w:tcPr>
            <w:tcW w:w="1200" w:type="dxa"/>
            <w:tcBorders>
              <w:top w:val="nil"/>
              <w:left w:val="nil"/>
              <w:bottom w:val="single" w:sz="4" w:space="0" w:color="auto"/>
              <w:right w:val="single" w:sz="4" w:space="0" w:color="auto"/>
            </w:tcBorders>
            <w:shd w:val="clear" w:color="auto" w:fill="auto"/>
            <w:noWrap/>
            <w:vAlign w:val="bottom"/>
            <w:hideMark/>
          </w:tcPr>
          <w:p w14:paraId="0EA9BF4D" w14:textId="77777777" w:rsidR="008A1919" w:rsidRPr="008A1919" w:rsidRDefault="008A1919" w:rsidP="008A1919">
            <w:pPr>
              <w:spacing w:line="240" w:lineRule="auto"/>
              <w:jc w:val="center"/>
              <w:rPr>
                <w:rFonts w:eastAsia="Times New Roman" w:cs="Times New Roman"/>
                <w:color w:val="000000"/>
                <w:sz w:val="22"/>
                <w:lang w:eastAsia="es-GT"/>
              </w:rPr>
            </w:pPr>
            <w:r w:rsidRPr="008A1919">
              <w:rPr>
                <w:rFonts w:eastAsia="Times New Roman" w:cs="Times New Roman"/>
                <w:color w:val="000000"/>
                <w:sz w:val="22"/>
                <w:lang w:eastAsia="es-GT"/>
              </w:rPr>
              <w:t>25.75%</w:t>
            </w:r>
          </w:p>
        </w:tc>
        <w:tc>
          <w:tcPr>
            <w:tcW w:w="1200" w:type="dxa"/>
            <w:tcBorders>
              <w:top w:val="nil"/>
              <w:left w:val="nil"/>
              <w:bottom w:val="single" w:sz="4" w:space="0" w:color="auto"/>
              <w:right w:val="single" w:sz="4" w:space="0" w:color="auto"/>
            </w:tcBorders>
            <w:shd w:val="clear" w:color="auto" w:fill="auto"/>
            <w:noWrap/>
            <w:vAlign w:val="bottom"/>
            <w:hideMark/>
          </w:tcPr>
          <w:p w14:paraId="211CAC84" w14:textId="77777777" w:rsidR="008A1919" w:rsidRPr="008A1919" w:rsidRDefault="008A1919" w:rsidP="008A1919">
            <w:pPr>
              <w:spacing w:line="240" w:lineRule="auto"/>
              <w:jc w:val="center"/>
              <w:rPr>
                <w:rFonts w:eastAsia="Times New Roman" w:cs="Times New Roman"/>
                <w:color w:val="000000"/>
                <w:sz w:val="22"/>
                <w:lang w:eastAsia="es-GT"/>
              </w:rPr>
            </w:pPr>
            <w:r w:rsidRPr="008A1919">
              <w:rPr>
                <w:rFonts w:eastAsia="Times New Roman" w:cs="Times New Roman"/>
                <w:color w:val="000000"/>
                <w:sz w:val="22"/>
                <w:lang w:eastAsia="es-GT"/>
              </w:rPr>
              <w:t>1,145,421.72</w:t>
            </w:r>
          </w:p>
        </w:tc>
        <w:tc>
          <w:tcPr>
            <w:tcW w:w="1200" w:type="dxa"/>
            <w:tcBorders>
              <w:top w:val="nil"/>
              <w:left w:val="nil"/>
              <w:bottom w:val="single" w:sz="4" w:space="0" w:color="auto"/>
              <w:right w:val="single" w:sz="4" w:space="0" w:color="auto"/>
            </w:tcBorders>
            <w:shd w:val="clear" w:color="auto" w:fill="auto"/>
            <w:noWrap/>
            <w:vAlign w:val="bottom"/>
            <w:hideMark/>
          </w:tcPr>
          <w:p w14:paraId="6412F8A0" w14:textId="77777777" w:rsidR="008A1919" w:rsidRPr="008A1919" w:rsidRDefault="008A1919" w:rsidP="008A1919">
            <w:pPr>
              <w:spacing w:line="240" w:lineRule="auto"/>
              <w:jc w:val="center"/>
              <w:rPr>
                <w:rFonts w:eastAsia="Times New Roman" w:cs="Times New Roman"/>
                <w:color w:val="000000"/>
                <w:sz w:val="22"/>
                <w:lang w:eastAsia="es-GT"/>
              </w:rPr>
            </w:pPr>
            <w:r w:rsidRPr="008A1919">
              <w:rPr>
                <w:rFonts w:eastAsia="Times New Roman" w:cs="Times New Roman"/>
                <w:color w:val="000000"/>
                <w:sz w:val="22"/>
                <w:lang w:eastAsia="es-GT"/>
              </w:rPr>
              <w:t>28.56%</w:t>
            </w:r>
          </w:p>
        </w:tc>
        <w:tc>
          <w:tcPr>
            <w:tcW w:w="1840" w:type="dxa"/>
            <w:tcBorders>
              <w:top w:val="nil"/>
              <w:left w:val="nil"/>
              <w:bottom w:val="single" w:sz="4" w:space="0" w:color="auto"/>
              <w:right w:val="single" w:sz="4" w:space="0" w:color="auto"/>
            </w:tcBorders>
            <w:shd w:val="clear" w:color="auto" w:fill="auto"/>
            <w:noWrap/>
            <w:vAlign w:val="bottom"/>
            <w:hideMark/>
          </w:tcPr>
          <w:p w14:paraId="46D90690" w14:textId="77777777" w:rsidR="008A1919" w:rsidRPr="008A1919" w:rsidRDefault="008A1919" w:rsidP="008A1919">
            <w:pPr>
              <w:spacing w:line="240" w:lineRule="auto"/>
              <w:jc w:val="center"/>
              <w:rPr>
                <w:rFonts w:eastAsia="Times New Roman" w:cs="Times New Roman"/>
                <w:color w:val="000000"/>
                <w:sz w:val="22"/>
                <w:lang w:eastAsia="es-GT"/>
              </w:rPr>
            </w:pPr>
            <w:r w:rsidRPr="008A1919">
              <w:rPr>
                <w:rFonts w:eastAsia="Times New Roman" w:cs="Times New Roman"/>
                <w:color w:val="000000"/>
                <w:sz w:val="22"/>
                <w:lang w:eastAsia="es-GT"/>
              </w:rPr>
              <w:t>2.82%</w:t>
            </w:r>
          </w:p>
        </w:tc>
      </w:tr>
    </w:tbl>
    <w:p w14:paraId="684903FE" w14:textId="77777777" w:rsidR="002D4E17" w:rsidRDefault="002D4E17" w:rsidP="00976B73">
      <w:pPr>
        <w:spacing w:line="240" w:lineRule="auto"/>
        <w:jc w:val="center"/>
        <w:rPr>
          <w:b/>
          <w:sz w:val="20"/>
        </w:rPr>
      </w:pPr>
    </w:p>
    <w:p w14:paraId="542B0768" w14:textId="77777777" w:rsidR="00976B73" w:rsidRPr="00D178A5" w:rsidRDefault="00976B73" w:rsidP="00976B73">
      <w:pPr>
        <w:spacing w:line="240" w:lineRule="auto"/>
        <w:jc w:val="center"/>
        <w:rPr>
          <w:sz w:val="20"/>
        </w:rPr>
      </w:pPr>
      <w:r w:rsidRPr="0075311A">
        <w:rPr>
          <w:b/>
          <w:sz w:val="20"/>
        </w:rPr>
        <w:t>Fuente</w:t>
      </w:r>
      <w:r w:rsidRPr="0075311A">
        <w:rPr>
          <w:sz w:val="20"/>
        </w:rPr>
        <w:t>: Elaboración propia DIPLAN-CAEE, con información proporcionada por la Unidad de Administración Financiera –UDAF–, Ministerio de Gobernación</w:t>
      </w:r>
      <w:r w:rsidR="00C97D57" w:rsidRPr="0075311A">
        <w:rPr>
          <w:sz w:val="20"/>
        </w:rPr>
        <w:t>, montos en quetzales</w:t>
      </w:r>
      <w:r w:rsidRPr="0075311A">
        <w:rPr>
          <w:sz w:val="20"/>
        </w:rPr>
        <w:t xml:space="preserve">. </w:t>
      </w:r>
      <w:r w:rsidR="008A1919">
        <w:rPr>
          <w:sz w:val="20"/>
        </w:rPr>
        <w:t>Abril 2023.</w:t>
      </w:r>
    </w:p>
    <w:p w14:paraId="11C7FC59" w14:textId="77777777" w:rsidR="00D84A6E" w:rsidRPr="00064CF7" w:rsidRDefault="00D84A6E" w:rsidP="000E2F84"/>
    <w:p w14:paraId="40289476" w14:textId="77777777" w:rsidR="00973487" w:rsidRPr="00064CF7" w:rsidRDefault="00973487" w:rsidP="00973487">
      <w:pPr>
        <w:jc w:val="center"/>
        <w:rPr>
          <w:sz w:val="20"/>
        </w:rPr>
      </w:pPr>
    </w:p>
    <w:p w14:paraId="6FD43A32" w14:textId="77777777" w:rsidR="00DF7000" w:rsidRPr="00064CF7" w:rsidRDefault="00DF7000" w:rsidP="00DF7000">
      <w:pPr>
        <w:jc w:val="center"/>
        <w:rPr>
          <w:sz w:val="20"/>
        </w:rPr>
      </w:pPr>
    </w:p>
    <w:p w14:paraId="3BC98D5F" w14:textId="77777777" w:rsidR="00DF7000" w:rsidRPr="00064CF7" w:rsidRDefault="00DF7000" w:rsidP="00DF7000">
      <w:pPr>
        <w:sectPr w:rsidR="00DF7000" w:rsidRPr="00064CF7" w:rsidSect="002F11D2">
          <w:pgSz w:w="12240" w:h="15840"/>
          <w:pgMar w:top="1417" w:right="1701" w:bottom="1417" w:left="1701" w:header="708" w:footer="227" w:gutter="0"/>
          <w:pgNumType w:start="1"/>
          <w:cols w:space="708"/>
          <w:docGrid w:linePitch="360"/>
        </w:sectPr>
      </w:pPr>
    </w:p>
    <w:p w14:paraId="3E413D12" w14:textId="77777777" w:rsidR="009F68D4" w:rsidRDefault="00213E4C" w:rsidP="00906BF1">
      <w:r w:rsidRPr="00213E4C">
        <w:rPr>
          <w:noProof/>
          <w:lang w:eastAsia="es-GT"/>
        </w:rPr>
        <w:lastRenderedPageBreak/>
        <mc:AlternateContent>
          <mc:Choice Requires="wps">
            <w:drawing>
              <wp:anchor distT="0" distB="0" distL="114300" distR="114300" simplePos="0" relativeHeight="251708416" behindDoc="0" locked="0" layoutInCell="1" allowOverlap="1" wp14:anchorId="2BA4201B" wp14:editId="52706B7F">
                <wp:simplePos x="0" y="0"/>
                <wp:positionH relativeFrom="column">
                  <wp:posOffset>2831465</wp:posOffset>
                </wp:positionH>
                <wp:positionV relativeFrom="paragraph">
                  <wp:posOffset>4991100</wp:posOffset>
                </wp:positionV>
                <wp:extent cx="1746885" cy="65659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1746885" cy="656590"/>
                        </a:xfrm>
                        <a:prstGeom prst="rect">
                          <a:avLst/>
                        </a:prstGeom>
                        <a:noFill/>
                        <a:ln w="6350">
                          <a:noFill/>
                        </a:ln>
                      </wps:spPr>
                      <wps:txbx>
                        <w:txbxContent>
                          <w:p w14:paraId="1D7326A9" w14:textId="77777777" w:rsidR="00213E4C" w:rsidRPr="00803B7C" w:rsidRDefault="00213E4C" w:rsidP="00213E4C">
                            <w:pPr>
                              <w:pStyle w:val="Prrafobsico"/>
                              <w:rPr>
                                <w:rFonts w:ascii="Montserrat SemiBold" w:eastAsiaTheme="minorEastAsia" w:hAnsi="Montserrat SemiBold" w:cs="Montserrat SemiBold"/>
                                <w:b/>
                                <w:bCs/>
                                <w:color w:val="12304A"/>
                                <w:sz w:val="18"/>
                                <w:szCs w:val="14"/>
                              </w:rPr>
                            </w:pPr>
                            <w:r w:rsidRPr="00803B7C">
                              <w:rPr>
                                <w:rFonts w:ascii="Montserrat SemiBold" w:eastAsiaTheme="minorEastAsia" w:hAnsi="Montserrat SemiBold" w:cs="Montserrat SemiBold"/>
                                <w:b/>
                                <w:bCs/>
                                <w:color w:val="12304A"/>
                                <w:sz w:val="18"/>
                                <w:szCs w:val="14"/>
                              </w:rPr>
                              <w:t>GOBERNACIÓN DEPARTAMENTAL</w:t>
                            </w:r>
                            <w:r w:rsidRPr="00803B7C">
                              <w:rPr>
                                <w:rFonts w:ascii="Montserrat SemiBold" w:eastAsiaTheme="minorEastAsia" w:hAnsi="Montserrat SemiBold" w:cs="Montserrat SemiBold"/>
                                <w:b/>
                                <w:bCs/>
                                <w:color w:val="12304A"/>
                                <w:sz w:val="18"/>
                                <w:szCs w:val="14"/>
                              </w:rPr>
                              <w:br/>
                              <w:t xml:space="preserve">DE </w:t>
                            </w:r>
                            <w:r w:rsidR="00C92ADC">
                              <w:rPr>
                                <w:rFonts w:ascii="Montserrat SemiBold" w:eastAsiaTheme="minorEastAsia" w:hAnsi="Montserrat SemiBold" w:cs="Montserrat SemiBold"/>
                                <w:b/>
                                <w:bCs/>
                                <w:color w:val="12304A"/>
                                <w:sz w:val="18"/>
                                <w:szCs w:val="14"/>
                              </w:rPr>
                              <w:t>SACATEPÉQUEZ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F21CD0" id="Cuadro de texto 10" o:spid="_x0000_s1027" type="#_x0000_t202" style="position:absolute;left:0;text-align:left;margin-left:222.95pt;margin-top:393pt;width:137.55pt;height:51.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" filled="f" stroked="f" strokeweight=".5pt">
                <v:textbox>
                  <w:txbxContent>
                    <w:p w:rsidR="00213E4C" w:rsidRPr="00803B7C" w:rsidRDefault="00213E4C" w:rsidP="00213E4C">
                      <w:pPr>
                        <w:pStyle w:val="Prrafobsico"/>
                        <w:rPr>
                          <w:rFonts w:ascii="Montserrat SemiBold" w:eastAsiaTheme="minorEastAsia" w:hAnsi="Montserrat SemiBold" w:cs="Montserrat SemiBold"/>
                          <w:b/>
                          <w:bCs/>
                          <w:color w:val="12304A"/>
                          <w:sz w:val="18"/>
                          <w:szCs w:val="14"/>
                        </w:rPr>
                      </w:pPr>
                      <w:r w:rsidRPr="00803B7C">
                        <w:rPr>
                          <w:rFonts w:ascii="Montserrat SemiBold" w:eastAsiaTheme="minorEastAsia" w:hAnsi="Montserrat SemiBold" w:cs="Montserrat SemiBold"/>
                          <w:b/>
                          <w:bCs/>
                          <w:color w:val="12304A"/>
                          <w:sz w:val="18"/>
                          <w:szCs w:val="14"/>
                        </w:rPr>
                        <w:t>GOBERNACIÓN DEPARTAMENTAL</w:t>
                      </w:r>
                      <w:r w:rsidRPr="00803B7C">
                        <w:rPr>
                          <w:rFonts w:ascii="Montserrat SemiBold" w:eastAsiaTheme="minorEastAsia" w:hAnsi="Montserrat SemiBold" w:cs="Montserrat SemiBold"/>
                          <w:b/>
                          <w:bCs/>
                          <w:color w:val="12304A"/>
                          <w:sz w:val="18"/>
                          <w:szCs w:val="14"/>
                        </w:rPr>
                        <w:br/>
                        <w:t xml:space="preserve">DE </w:t>
                      </w:r>
                      <w:r w:rsidR="00C92ADC">
                        <w:rPr>
                          <w:rFonts w:ascii="Montserrat SemiBold" w:eastAsiaTheme="minorEastAsia" w:hAnsi="Montserrat SemiBold" w:cs="Montserrat SemiBold"/>
                          <w:b/>
                          <w:bCs/>
                          <w:color w:val="12304A"/>
                          <w:sz w:val="18"/>
                          <w:szCs w:val="14"/>
                        </w:rPr>
                        <w:t>SACATEPÉQUEZ</w:t>
                      </w:r>
                    </w:p>
                  </w:txbxContent>
                </v:textbox>
              </v:shape>
            </w:pict>
          </mc:Fallback>
        </mc:AlternateContent>
      </w:r>
      <w:r w:rsidRPr="00213E4C">
        <w:rPr>
          <w:noProof/>
          <w:lang w:eastAsia="es-GT"/>
        </w:rPr>
        <w:drawing>
          <wp:anchor distT="0" distB="0" distL="114300" distR="114300" simplePos="0" relativeHeight="251707392" behindDoc="0" locked="0" layoutInCell="1" allowOverlap="1" wp14:anchorId="3DD8D01D" wp14:editId="41B4AE5E">
            <wp:simplePos x="0" y="0"/>
            <wp:positionH relativeFrom="column">
              <wp:posOffset>1526761</wp:posOffset>
            </wp:positionH>
            <wp:positionV relativeFrom="paragraph">
              <wp:posOffset>5048471</wp:posOffset>
            </wp:positionV>
            <wp:extent cx="1276350" cy="506095"/>
            <wp:effectExtent l="0" t="0" r="0" b="8255"/>
            <wp:wrapNone/>
            <wp:docPr id="11" name="Imagen 11"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10;&#10;Descripción generada automáticamente con confianza media"/>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6350" cy="506095"/>
                    </a:xfrm>
                    <a:prstGeom prst="rect">
                      <a:avLst/>
                    </a:prstGeom>
                  </pic:spPr>
                </pic:pic>
              </a:graphicData>
            </a:graphic>
          </wp:anchor>
        </w:drawing>
      </w:r>
      <w:r>
        <w:rPr>
          <w:noProof/>
          <w:lang w:eastAsia="es-GT"/>
        </w:rPr>
        <mc:AlternateContent>
          <mc:Choice Requires="wps">
            <w:drawing>
              <wp:anchor distT="0" distB="0" distL="114300" distR="114300" simplePos="0" relativeHeight="251705344" behindDoc="0" locked="0" layoutInCell="1" allowOverlap="1" wp14:anchorId="4B923114" wp14:editId="42719971">
                <wp:simplePos x="0" y="0"/>
                <wp:positionH relativeFrom="margin">
                  <wp:posOffset>1177290</wp:posOffset>
                </wp:positionH>
                <wp:positionV relativeFrom="paragraph">
                  <wp:posOffset>4967605</wp:posOffset>
                </wp:positionV>
                <wp:extent cx="3289935" cy="727075"/>
                <wp:effectExtent l="0" t="0" r="0" b="0"/>
                <wp:wrapNone/>
                <wp:docPr id="2"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9833058" id="Rectángulo redondeado 2" o:spid="_x0000_s1026" style="position:absolute;margin-left:92.7pt;margin-top:391.15pt;width:259.05pt;height:57.25pt;z-index:251705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" fillcolor="white [3212]" stroked="f" strokeweight="1pt">
                <v:stroke joinstyle="miter"/>
                <w10:wrap anchorx="margin"/>
              </v:roundrect>
            </w:pict>
          </mc:Fallback>
        </mc:AlternateContent>
      </w:r>
      <w:r w:rsidR="00770A8F">
        <w:rPr>
          <w:noProof/>
          <w:lang w:eastAsia="es-GT"/>
        </w:rPr>
        <w:drawing>
          <wp:anchor distT="0" distB="0" distL="114300" distR="114300" simplePos="0" relativeHeight="251703296" behindDoc="1" locked="0" layoutInCell="1" allowOverlap="1" wp14:anchorId="1B186157" wp14:editId="115AFF8E">
            <wp:simplePos x="0" y="0"/>
            <wp:positionH relativeFrom="margin">
              <wp:posOffset>-1085850</wp:posOffset>
            </wp:positionH>
            <wp:positionV relativeFrom="margin">
              <wp:posOffset>-885825</wp:posOffset>
            </wp:positionV>
            <wp:extent cx="7878670" cy="10195560"/>
            <wp:effectExtent l="0" t="0" r="0" b="2540"/>
            <wp:wrapNone/>
            <wp:docPr id="12456565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6573" name="Imagen 124565657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878670" cy="10195560"/>
                    </a:xfrm>
                    <a:prstGeom prst="rect">
                      <a:avLst/>
                    </a:prstGeom>
                  </pic:spPr>
                </pic:pic>
              </a:graphicData>
            </a:graphic>
            <wp14:sizeRelH relativeFrom="page">
              <wp14:pctWidth>0</wp14:pctWidth>
            </wp14:sizeRelH>
            <wp14:sizeRelV relativeFrom="page">
              <wp14:pctHeight>0</wp14:pctHeight>
            </wp14:sizeRelV>
          </wp:anchor>
        </w:drawing>
      </w:r>
    </w:p>
    <w:sectPr w:rsidR="009F68D4" w:rsidSect="0091068C">
      <w:headerReference w:type="default" r:id="rId21"/>
      <w:footerReference w:type="default" r:id="rId22"/>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35883A" w14:textId="77777777" w:rsidR="00CE0B9D" w:rsidRDefault="00CE0B9D" w:rsidP="009E1037">
      <w:pPr>
        <w:spacing w:line="240" w:lineRule="auto"/>
      </w:pPr>
      <w:r>
        <w:separator/>
      </w:r>
    </w:p>
  </w:endnote>
  <w:endnote w:type="continuationSeparator" w:id="0">
    <w:p w14:paraId="2CAE8FC3" w14:textId="77777777" w:rsidR="00CE0B9D" w:rsidRDefault="00CE0B9D" w:rsidP="009E10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panose1 w:val="00000000000000000000"/>
    <w:charset w:val="4D"/>
    <w:family w:val="auto"/>
    <w:notTrueType/>
    <w:pitch w:val="default"/>
    <w:sig w:usb0="00000003" w:usb1="00000000" w:usb2="00000000" w:usb3="00000000" w:csb0="00000001" w:csb1="00000000"/>
  </w:font>
  <w:font w:name="Montserrat">
    <w:altName w:val="Times New Roman"/>
    <w:panose1 w:val="00000000000000000000"/>
    <w:charset w:val="00"/>
    <w:family w:val="modern"/>
    <w:notTrueType/>
    <w:pitch w:val="variable"/>
    <w:sig w:usb0="2000020F" w:usb1="00000003" w:usb2="00000000" w:usb3="00000000" w:csb0="00000197" w:csb1="00000000"/>
  </w:font>
  <w:font w:name="Montserrat SemiBold">
    <w:altName w:val="Courier New"/>
    <w:panose1 w:val="00000000000000000000"/>
    <w:charset w:val="00"/>
    <w:family w:val="modern"/>
    <w:notTrueType/>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17323" w14:textId="77777777" w:rsidR="0091068C" w:rsidRDefault="0091068C">
    <w:pPr>
      <w:pStyle w:val="Piedepgina"/>
      <w:jc w:val="center"/>
    </w:pPr>
  </w:p>
  <w:p w14:paraId="5B7B143A" w14:textId="77777777" w:rsidR="009E1037" w:rsidRDefault="009E103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9642336"/>
      <w:docPartObj>
        <w:docPartGallery w:val="Page Numbers (Bottom of Page)"/>
        <w:docPartUnique/>
      </w:docPartObj>
    </w:sdtPr>
    <w:sdtEndPr>
      <w:rPr>
        <w:rFonts w:ascii="Montserrat" w:hAnsi="Montserrat"/>
        <w:b/>
        <w:color w:val="002E91"/>
      </w:rPr>
    </w:sdtEndPr>
    <w:sdtContent>
      <w:p w14:paraId="029F0071" w14:textId="77777777" w:rsidR="00657537" w:rsidRPr="00964263" w:rsidRDefault="00770A8F">
        <w:pPr>
          <w:pStyle w:val="Piedepgina"/>
          <w:jc w:val="center"/>
          <w:rPr>
            <w:rFonts w:ascii="Montserrat" w:hAnsi="Montserrat"/>
            <w:b/>
            <w:color w:val="002E91"/>
          </w:rPr>
        </w:pPr>
        <w:r>
          <w:rPr>
            <w:noProof/>
            <w:lang w:eastAsia="es-GT"/>
          </w:rPr>
          <w:drawing>
            <wp:anchor distT="0" distB="0" distL="114300" distR="114300" simplePos="0" relativeHeight="251662336" behindDoc="0" locked="0" layoutInCell="1" allowOverlap="1" wp14:anchorId="183E729E" wp14:editId="2EBFD285">
              <wp:simplePos x="0" y="0"/>
              <wp:positionH relativeFrom="column">
                <wp:posOffset>-1047750</wp:posOffset>
              </wp:positionH>
              <wp:positionV relativeFrom="paragraph">
                <wp:posOffset>-1443990</wp:posOffset>
              </wp:positionV>
              <wp:extent cx="6730973" cy="1900179"/>
              <wp:effectExtent l="0" t="0" r="635" b="0"/>
              <wp:wrapNone/>
              <wp:docPr id="96617075" name="Imagen 9661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r w:rsidR="00657537" w:rsidRPr="00964263">
          <w:rPr>
            <w:rFonts w:ascii="Montserrat" w:hAnsi="Montserrat"/>
            <w:b/>
            <w:color w:val="002E91"/>
          </w:rPr>
          <w:fldChar w:fldCharType="begin"/>
        </w:r>
        <w:r w:rsidR="00657537" w:rsidRPr="00964263">
          <w:rPr>
            <w:rFonts w:ascii="Montserrat" w:hAnsi="Montserrat"/>
            <w:b/>
            <w:color w:val="002E91"/>
          </w:rPr>
          <w:instrText>PAGE   \* MERGEFORMAT</w:instrText>
        </w:r>
        <w:r w:rsidR="00657537" w:rsidRPr="00964263">
          <w:rPr>
            <w:rFonts w:ascii="Montserrat" w:hAnsi="Montserrat"/>
            <w:b/>
            <w:color w:val="002E91"/>
          </w:rPr>
          <w:fldChar w:fldCharType="separate"/>
        </w:r>
        <w:r w:rsidR="005D1C58" w:rsidRPr="005D1C58">
          <w:rPr>
            <w:rFonts w:ascii="Montserrat" w:hAnsi="Montserrat"/>
            <w:b/>
            <w:noProof/>
            <w:color w:val="002E91"/>
            <w:lang w:val="es-ES"/>
          </w:rPr>
          <w:t>5</w:t>
        </w:r>
        <w:r w:rsidR="00657537" w:rsidRPr="00964263">
          <w:rPr>
            <w:rFonts w:ascii="Montserrat" w:hAnsi="Montserrat"/>
            <w:b/>
            <w:color w:val="002E91"/>
          </w:rPr>
          <w:fldChar w:fldCharType="end"/>
        </w:r>
      </w:p>
    </w:sdtContent>
  </w:sdt>
  <w:p w14:paraId="28E09D6F" w14:textId="77777777" w:rsidR="00657537" w:rsidRDefault="00E363B0" w:rsidP="00E363B0">
    <w:pPr>
      <w:pStyle w:val="Piedepgina"/>
      <w:tabs>
        <w:tab w:val="left" w:pos="3232"/>
      </w:tabs>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351742" w14:textId="77777777" w:rsidR="006C059F" w:rsidRDefault="006C059F">
    <w:pPr>
      <w:pStyle w:val="Piedepgina"/>
      <w:jc w:val="center"/>
    </w:pPr>
  </w:p>
  <w:p w14:paraId="24C9F899" w14:textId="77777777" w:rsidR="006C059F" w:rsidRDefault="006C059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2A895F" w14:textId="77777777" w:rsidR="00CE0B9D" w:rsidRDefault="00CE0B9D" w:rsidP="009E1037">
      <w:pPr>
        <w:spacing w:line="240" w:lineRule="auto"/>
      </w:pPr>
      <w:r>
        <w:separator/>
      </w:r>
    </w:p>
  </w:footnote>
  <w:footnote w:type="continuationSeparator" w:id="0">
    <w:p w14:paraId="764D398F" w14:textId="77777777" w:rsidR="00CE0B9D" w:rsidRDefault="00CE0B9D" w:rsidP="009E103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84B7F1" w14:textId="77777777" w:rsidR="009E1037" w:rsidRDefault="00770A8F" w:rsidP="00701DDF">
    <w:pPr>
      <w:pStyle w:val="Encabezado"/>
      <w:tabs>
        <w:tab w:val="clear" w:pos="8838"/>
      </w:tabs>
    </w:pPr>
    <w:r>
      <w:rPr>
        <w:rFonts w:ascii="Montserrat" w:hAnsi="Montserrat"/>
        <w:noProof/>
        <w:color w:val="002E91"/>
        <w:sz w:val="50"/>
        <w:szCs w:val="50"/>
        <w:lang w:eastAsia="es-GT"/>
      </w:rPr>
      <w:drawing>
        <wp:anchor distT="0" distB="0" distL="114300" distR="114300" simplePos="0" relativeHeight="251660288" behindDoc="1" locked="0" layoutInCell="1" allowOverlap="1" wp14:anchorId="27974892" wp14:editId="71C7C787">
          <wp:simplePos x="0" y="0"/>
          <wp:positionH relativeFrom="margin">
            <wp:posOffset>-1076325</wp:posOffset>
          </wp:positionH>
          <wp:positionV relativeFrom="margin">
            <wp:posOffset>-879475</wp:posOffset>
          </wp:positionV>
          <wp:extent cx="7773284" cy="10059182"/>
          <wp:effectExtent l="0" t="0" r="0" b="0"/>
          <wp:wrapNone/>
          <wp:docPr id="4228425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AE723E" w14:textId="77777777" w:rsidR="00EF6E81" w:rsidRDefault="00EF6E81" w:rsidP="00701DDF">
    <w:pPr>
      <w:pStyle w:val="Encabezado"/>
      <w:tabs>
        <w:tab w:val="clear" w:pos="8838"/>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36CA4E" w14:textId="77777777" w:rsidR="006C059F" w:rsidRDefault="006C059F" w:rsidP="00701DDF">
    <w:pPr>
      <w:pStyle w:val="Encabezado"/>
      <w:tabs>
        <w:tab w:val="clear" w:pos="8838"/>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F84EBA"/>
    <w:multiLevelType w:val="hybridMultilevel"/>
    <w:tmpl w:val="DF3805F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nsid w:val="1AF271C3"/>
    <w:multiLevelType w:val="hybridMultilevel"/>
    <w:tmpl w:val="BA2A61B0"/>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
    <w:nsid w:val="205E5F99"/>
    <w:multiLevelType w:val="hybridMultilevel"/>
    <w:tmpl w:val="77D21CF2"/>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3">
    <w:nsid w:val="25FC78AB"/>
    <w:multiLevelType w:val="hybridMultilevel"/>
    <w:tmpl w:val="001EFD48"/>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4">
    <w:nsid w:val="272D2598"/>
    <w:multiLevelType w:val="hybridMultilevel"/>
    <w:tmpl w:val="0040E72A"/>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5">
    <w:nsid w:val="28736E7D"/>
    <w:multiLevelType w:val="hybridMultilevel"/>
    <w:tmpl w:val="0BA6337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2C3F1E9B"/>
    <w:multiLevelType w:val="hybridMultilevel"/>
    <w:tmpl w:val="9D4A9C82"/>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7">
    <w:nsid w:val="30F57511"/>
    <w:multiLevelType w:val="hybridMultilevel"/>
    <w:tmpl w:val="30BE4908"/>
    <w:lvl w:ilvl="0" w:tplc="DC727E98">
      <w:start w:val="1"/>
      <w:numFmt w:val="decimal"/>
      <w:lvlText w:val="%1."/>
      <w:lvlJc w:val="left"/>
      <w:pPr>
        <w:ind w:left="795" w:hanging="43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nsid w:val="345F6B41"/>
    <w:multiLevelType w:val="hybridMultilevel"/>
    <w:tmpl w:val="CDDC284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3A4A664F"/>
    <w:multiLevelType w:val="hybridMultilevel"/>
    <w:tmpl w:val="8FAE95D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0">
    <w:nsid w:val="4E184344"/>
    <w:multiLevelType w:val="hybridMultilevel"/>
    <w:tmpl w:val="814267B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nsid w:val="51DC1D41"/>
    <w:multiLevelType w:val="hybridMultilevel"/>
    <w:tmpl w:val="E160BF88"/>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nsid w:val="59CB0000"/>
    <w:multiLevelType w:val="hybridMultilevel"/>
    <w:tmpl w:val="6DA6D2F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nsid w:val="5A960373"/>
    <w:multiLevelType w:val="hybridMultilevel"/>
    <w:tmpl w:val="FF7AB67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14">
    <w:nsid w:val="68B8209B"/>
    <w:multiLevelType w:val="hybridMultilevel"/>
    <w:tmpl w:val="42D8D67C"/>
    <w:lvl w:ilvl="0" w:tplc="DC727E98">
      <w:start w:val="1"/>
      <w:numFmt w:val="decimal"/>
      <w:lvlText w:val="%1."/>
      <w:lvlJc w:val="left"/>
      <w:pPr>
        <w:ind w:left="795" w:hanging="43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nsid w:val="6A8F3329"/>
    <w:multiLevelType w:val="hybridMultilevel"/>
    <w:tmpl w:val="B434C83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nsid w:val="6BF5758B"/>
    <w:multiLevelType w:val="multilevel"/>
    <w:tmpl w:val="B7D64132"/>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6D35624C"/>
    <w:multiLevelType w:val="hybridMultilevel"/>
    <w:tmpl w:val="0AC21F20"/>
    <w:lvl w:ilvl="0" w:tplc="10ECAB70">
      <w:start w:val="1"/>
      <w:numFmt w:val="decimal"/>
      <w:lvlText w:val="%1."/>
      <w:lvlJc w:val="left"/>
      <w:pPr>
        <w:ind w:left="360" w:hanging="360"/>
      </w:pPr>
      <w:rPr>
        <w:rFonts w:hint="default"/>
        <w:b/>
        <w:color w:val="00B0F0"/>
      </w:rPr>
    </w:lvl>
    <w:lvl w:ilvl="1" w:tplc="2D5C8ABA">
      <w:start w:val="1"/>
      <w:numFmt w:val="lowerLetter"/>
      <w:lvlText w:val="%2."/>
      <w:lvlJc w:val="left"/>
      <w:pPr>
        <w:ind w:left="1080" w:hanging="360"/>
      </w:pPr>
      <w:rPr>
        <w:b/>
        <w:color w:val="00B0F0"/>
      </w:r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8">
    <w:nsid w:val="75342A91"/>
    <w:multiLevelType w:val="hybridMultilevel"/>
    <w:tmpl w:val="1D0E1CC0"/>
    <w:lvl w:ilvl="0" w:tplc="879A7E8C">
      <w:start w:val="1"/>
      <w:numFmt w:val="decimal"/>
      <w:lvlText w:val="%1."/>
      <w:lvlJc w:val="left"/>
      <w:pPr>
        <w:ind w:left="1065" w:hanging="7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7A282A9E"/>
    <w:multiLevelType w:val="hybridMultilevel"/>
    <w:tmpl w:val="47CCE630"/>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0">
    <w:nsid w:val="7AF96720"/>
    <w:multiLevelType w:val="hybridMultilevel"/>
    <w:tmpl w:val="E68656FE"/>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21">
    <w:nsid w:val="7E930EEE"/>
    <w:multiLevelType w:val="hybridMultilevel"/>
    <w:tmpl w:val="2220A90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21"/>
  </w:num>
  <w:num w:numId="2">
    <w:abstractNumId w:val="7"/>
  </w:num>
  <w:num w:numId="3">
    <w:abstractNumId w:val="14"/>
  </w:num>
  <w:num w:numId="4">
    <w:abstractNumId w:val="18"/>
  </w:num>
  <w:num w:numId="5">
    <w:abstractNumId w:val="16"/>
  </w:num>
  <w:num w:numId="6">
    <w:abstractNumId w:val="8"/>
  </w:num>
  <w:num w:numId="7">
    <w:abstractNumId w:val="5"/>
  </w:num>
  <w:num w:numId="8">
    <w:abstractNumId w:val="3"/>
  </w:num>
  <w:num w:numId="9">
    <w:abstractNumId w:val="1"/>
  </w:num>
  <w:num w:numId="10">
    <w:abstractNumId w:val="0"/>
  </w:num>
  <w:num w:numId="11">
    <w:abstractNumId w:val="17"/>
  </w:num>
  <w:num w:numId="12">
    <w:abstractNumId w:val="15"/>
  </w:num>
  <w:num w:numId="13">
    <w:abstractNumId w:val="12"/>
  </w:num>
  <w:num w:numId="14">
    <w:abstractNumId w:val="10"/>
  </w:num>
  <w:num w:numId="15">
    <w:abstractNumId w:val="6"/>
  </w:num>
  <w:num w:numId="16">
    <w:abstractNumId w:val="9"/>
  </w:num>
  <w:num w:numId="17">
    <w:abstractNumId w:val="20"/>
  </w:num>
  <w:num w:numId="18">
    <w:abstractNumId w:val="11"/>
  </w:num>
  <w:num w:numId="19">
    <w:abstractNumId w:val="13"/>
  </w:num>
  <w:num w:numId="20">
    <w:abstractNumId w:val="2"/>
  </w:num>
  <w:num w:numId="21">
    <w:abstractNumId w:val="19"/>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04B"/>
    <w:rsid w:val="0000788D"/>
    <w:rsid w:val="00010363"/>
    <w:rsid w:val="000170D9"/>
    <w:rsid w:val="000173FE"/>
    <w:rsid w:val="00042FFD"/>
    <w:rsid w:val="00047255"/>
    <w:rsid w:val="000559CD"/>
    <w:rsid w:val="00057DF9"/>
    <w:rsid w:val="00064CF7"/>
    <w:rsid w:val="00072BEF"/>
    <w:rsid w:val="000848DF"/>
    <w:rsid w:val="000B17F0"/>
    <w:rsid w:val="000C298A"/>
    <w:rsid w:val="000C66C8"/>
    <w:rsid w:val="000D08A8"/>
    <w:rsid w:val="000D5950"/>
    <w:rsid w:val="000D5A4D"/>
    <w:rsid w:val="000E2F84"/>
    <w:rsid w:val="000E3B54"/>
    <w:rsid w:val="000F07E0"/>
    <w:rsid w:val="00107269"/>
    <w:rsid w:val="0011696C"/>
    <w:rsid w:val="00125429"/>
    <w:rsid w:val="001265A8"/>
    <w:rsid w:val="001307DB"/>
    <w:rsid w:val="00144FC2"/>
    <w:rsid w:val="0015168C"/>
    <w:rsid w:val="00156E91"/>
    <w:rsid w:val="00166F4D"/>
    <w:rsid w:val="0019664F"/>
    <w:rsid w:val="001A073B"/>
    <w:rsid w:val="001A7D56"/>
    <w:rsid w:val="001C2D30"/>
    <w:rsid w:val="001D3568"/>
    <w:rsid w:val="001E76DA"/>
    <w:rsid w:val="001F588D"/>
    <w:rsid w:val="001F5C5E"/>
    <w:rsid w:val="00211E6A"/>
    <w:rsid w:val="00212918"/>
    <w:rsid w:val="00213E4C"/>
    <w:rsid w:val="0023095F"/>
    <w:rsid w:val="002369AB"/>
    <w:rsid w:val="00246D95"/>
    <w:rsid w:val="0024761C"/>
    <w:rsid w:val="00253DB8"/>
    <w:rsid w:val="002A27FE"/>
    <w:rsid w:val="002B62E3"/>
    <w:rsid w:val="002D2E7D"/>
    <w:rsid w:val="002D4E17"/>
    <w:rsid w:val="002D690E"/>
    <w:rsid w:val="002E296E"/>
    <w:rsid w:val="002E725C"/>
    <w:rsid w:val="002F11D2"/>
    <w:rsid w:val="002F502E"/>
    <w:rsid w:val="0030751D"/>
    <w:rsid w:val="003424B7"/>
    <w:rsid w:val="00345AB4"/>
    <w:rsid w:val="00362C7B"/>
    <w:rsid w:val="003C1F30"/>
    <w:rsid w:val="003E4EBB"/>
    <w:rsid w:val="003E51CE"/>
    <w:rsid w:val="003E7E98"/>
    <w:rsid w:val="0041103D"/>
    <w:rsid w:val="0044132B"/>
    <w:rsid w:val="00461118"/>
    <w:rsid w:val="004706F3"/>
    <w:rsid w:val="0048754A"/>
    <w:rsid w:val="004A7658"/>
    <w:rsid w:val="004B7101"/>
    <w:rsid w:val="004D13B4"/>
    <w:rsid w:val="004D6C49"/>
    <w:rsid w:val="004E54BD"/>
    <w:rsid w:val="00510014"/>
    <w:rsid w:val="005111CF"/>
    <w:rsid w:val="0052521F"/>
    <w:rsid w:val="005370D3"/>
    <w:rsid w:val="0055188C"/>
    <w:rsid w:val="00554557"/>
    <w:rsid w:val="00554BDF"/>
    <w:rsid w:val="0056176F"/>
    <w:rsid w:val="00566885"/>
    <w:rsid w:val="005877E7"/>
    <w:rsid w:val="005915FB"/>
    <w:rsid w:val="005C6179"/>
    <w:rsid w:val="005D1C58"/>
    <w:rsid w:val="005F08E6"/>
    <w:rsid w:val="005F4EEA"/>
    <w:rsid w:val="00653D2D"/>
    <w:rsid w:val="0065582E"/>
    <w:rsid w:val="00655A74"/>
    <w:rsid w:val="00657537"/>
    <w:rsid w:val="006A2077"/>
    <w:rsid w:val="006A60AA"/>
    <w:rsid w:val="006B20C4"/>
    <w:rsid w:val="006C059F"/>
    <w:rsid w:val="006D095C"/>
    <w:rsid w:val="006D410F"/>
    <w:rsid w:val="006E5F84"/>
    <w:rsid w:val="00701DDF"/>
    <w:rsid w:val="0070396E"/>
    <w:rsid w:val="0070465C"/>
    <w:rsid w:val="00705AB8"/>
    <w:rsid w:val="00720F92"/>
    <w:rsid w:val="00727FB6"/>
    <w:rsid w:val="00733F6D"/>
    <w:rsid w:val="0075311A"/>
    <w:rsid w:val="00757777"/>
    <w:rsid w:val="007578BE"/>
    <w:rsid w:val="00763F26"/>
    <w:rsid w:val="00770A8F"/>
    <w:rsid w:val="0077420D"/>
    <w:rsid w:val="00793613"/>
    <w:rsid w:val="007B3C75"/>
    <w:rsid w:val="007C00EE"/>
    <w:rsid w:val="007C1B77"/>
    <w:rsid w:val="007C6BCE"/>
    <w:rsid w:val="007D09AA"/>
    <w:rsid w:val="007D0DCE"/>
    <w:rsid w:val="007D436F"/>
    <w:rsid w:val="007D6F1C"/>
    <w:rsid w:val="007E4932"/>
    <w:rsid w:val="007E5FA0"/>
    <w:rsid w:val="00803B7C"/>
    <w:rsid w:val="008040FE"/>
    <w:rsid w:val="00805B9B"/>
    <w:rsid w:val="008236F1"/>
    <w:rsid w:val="00824C0E"/>
    <w:rsid w:val="0083011B"/>
    <w:rsid w:val="00832807"/>
    <w:rsid w:val="008330DB"/>
    <w:rsid w:val="008333DD"/>
    <w:rsid w:val="00883CBD"/>
    <w:rsid w:val="00893868"/>
    <w:rsid w:val="008957EF"/>
    <w:rsid w:val="00896586"/>
    <w:rsid w:val="008A1919"/>
    <w:rsid w:val="008D00B1"/>
    <w:rsid w:val="008E1D2F"/>
    <w:rsid w:val="009015C7"/>
    <w:rsid w:val="009028D1"/>
    <w:rsid w:val="00906BF1"/>
    <w:rsid w:val="0091030B"/>
    <w:rsid w:val="0091068C"/>
    <w:rsid w:val="009119CD"/>
    <w:rsid w:val="00955898"/>
    <w:rsid w:val="00960274"/>
    <w:rsid w:val="00964263"/>
    <w:rsid w:val="00973487"/>
    <w:rsid w:val="00976B73"/>
    <w:rsid w:val="009837CC"/>
    <w:rsid w:val="009B411D"/>
    <w:rsid w:val="009E1037"/>
    <w:rsid w:val="009F68D4"/>
    <w:rsid w:val="009F7749"/>
    <w:rsid w:val="009F7926"/>
    <w:rsid w:val="00A04002"/>
    <w:rsid w:val="00A203DD"/>
    <w:rsid w:val="00A245F4"/>
    <w:rsid w:val="00A513FA"/>
    <w:rsid w:val="00A53F63"/>
    <w:rsid w:val="00A576CD"/>
    <w:rsid w:val="00A7121A"/>
    <w:rsid w:val="00A87B33"/>
    <w:rsid w:val="00AD73D8"/>
    <w:rsid w:val="00AD772D"/>
    <w:rsid w:val="00AE1DB1"/>
    <w:rsid w:val="00AF469F"/>
    <w:rsid w:val="00B03333"/>
    <w:rsid w:val="00B03833"/>
    <w:rsid w:val="00B0620F"/>
    <w:rsid w:val="00B14154"/>
    <w:rsid w:val="00B2087E"/>
    <w:rsid w:val="00B40F1F"/>
    <w:rsid w:val="00B50481"/>
    <w:rsid w:val="00B67BDD"/>
    <w:rsid w:val="00B714F8"/>
    <w:rsid w:val="00B873A7"/>
    <w:rsid w:val="00BA3986"/>
    <w:rsid w:val="00BB634B"/>
    <w:rsid w:val="00BC13B7"/>
    <w:rsid w:val="00BC384A"/>
    <w:rsid w:val="00BE4529"/>
    <w:rsid w:val="00BF1B98"/>
    <w:rsid w:val="00C1304B"/>
    <w:rsid w:val="00C20E40"/>
    <w:rsid w:val="00C22D7C"/>
    <w:rsid w:val="00C233D1"/>
    <w:rsid w:val="00C37D03"/>
    <w:rsid w:val="00C46CB7"/>
    <w:rsid w:val="00C512A5"/>
    <w:rsid w:val="00C536C7"/>
    <w:rsid w:val="00C63C50"/>
    <w:rsid w:val="00C73122"/>
    <w:rsid w:val="00C76C36"/>
    <w:rsid w:val="00C77C93"/>
    <w:rsid w:val="00C77FA6"/>
    <w:rsid w:val="00C92ADC"/>
    <w:rsid w:val="00C97D57"/>
    <w:rsid w:val="00CE0B9D"/>
    <w:rsid w:val="00CE6264"/>
    <w:rsid w:val="00CF3F3C"/>
    <w:rsid w:val="00D07281"/>
    <w:rsid w:val="00D21933"/>
    <w:rsid w:val="00D276A0"/>
    <w:rsid w:val="00D41B7F"/>
    <w:rsid w:val="00D46229"/>
    <w:rsid w:val="00D64BEC"/>
    <w:rsid w:val="00D82D9E"/>
    <w:rsid w:val="00D83C6A"/>
    <w:rsid w:val="00D84A6E"/>
    <w:rsid w:val="00D879AF"/>
    <w:rsid w:val="00DA6144"/>
    <w:rsid w:val="00DB4D89"/>
    <w:rsid w:val="00DF7000"/>
    <w:rsid w:val="00E04EE9"/>
    <w:rsid w:val="00E22F9B"/>
    <w:rsid w:val="00E363B0"/>
    <w:rsid w:val="00E4499E"/>
    <w:rsid w:val="00E66EE0"/>
    <w:rsid w:val="00E672A1"/>
    <w:rsid w:val="00E67D35"/>
    <w:rsid w:val="00E73CCB"/>
    <w:rsid w:val="00E750F5"/>
    <w:rsid w:val="00E858C7"/>
    <w:rsid w:val="00E90DF1"/>
    <w:rsid w:val="00E91447"/>
    <w:rsid w:val="00EA3FC6"/>
    <w:rsid w:val="00EA55D0"/>
    <w:rsid w:val="00EA7216"/>
    <w:rsid w:val="00EC35DA"/>
    <w:rsid w:val="00EE0FA3"/>
    <w:rsid w:val="00EE1DC6"/>
    <w:rsid w:val="00EF46CA"/>
    <w:rsid w:val="00EF5A0C"/>
    <w:rsid w:val="00EF6E81"/>
    <w:rsid w:val="00F027A1"/>
    <w:rsid w:val="00F0604B"/>
    <w:rsid w:val="00F31C5C"/>
    <w:rsid w:val="00F369B6"/>
    <w:rsid w:val="00F4576F"/>
    <w:rsid w:val="00F63741"/>
    <w:rsid w:val="00F85904"/>
    <w:rsid w:val="00F94A5E"/>
    <w:rsid w:val="00FA4F5A"/>
    <w:rsid w:val="00FB0310"/>
    <w:rsid w:val="00FB2638"/>
    <w:rsid w:val="00FC14BC"/>
    <w:rsid w:val="00FC1B2F"/>
    <w:rsid w:val="00FC3F64"/>
    <w:rsid w:val="00FD28F7"/>
    <w:rsid w:val="00FF3E6F"/>
    <w:rsid w:val="00FF6BD9"/>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07D5F9"/>
  <w15:chartTrackingRefBased/>
  <w15:docId w15:val="{AB7A0A79-4E19-4909-AEDB-50B22DA15B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132B"/>
    <w:pPr>
      <w:spacing w:after="0" w:line="360" w:lineRule="auto"/>
      <w:jc w:val="both"/>
    </w:pPr>
    <w:rPr>
      <w:rFonts w:ascii="Times New Roman" w:hAnsi="Times New Roman"/>
      <w:sz w:val="24"/>
    </w:rPr>
  </w:style>
  <w:style w:type="paragraph" w:styleId="Ttulo1">
    <w:name w:val="heading 1"/>
    <w:basedOn w:val="Normal"/>
    <w:next w:val="Normal"/>
    <w:link w:val="Ttulo1Car"/>
    <w:uiPriority w:val="9"/>
    <w:qFormat/>
    <w:rsid w:val="00F0604B"/>
    <w:pPr>
      <w:keepNext/>
      <w:keepLines/>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F0604B"/>
    <w:pPr>
      <w:keepNext/>
      <w:keepLines/>
      <w:outlineLvl w:val="1"/>
    </w:pPr>
    <w:rPr>
      <w:rFonts w:eastAsiaTheme="majorEastAsia" w:cstheme="majorBidi"/>
      <w:b/>
      <w:szCs w:val="26"/>
    </w:rPr>
  </w:style>
  <w:style w:type="paragraph" w:styleId="Ttulo3">
    <w:name w:val="heading 3"/>
    <w:basedOn w:val="Ttulo2"/>
    <w:next w:val="Normal"/>
    <w:link w:val="Ttulo3Car"/>
    <w:uiPriority w:val="9"/>
    <w:unhideWhenUsed/>
    <w:qFormat/>
    <w:rsid w:val="00F0604B"/>
    <w:pPr>
      <w:outlineLvl w:val="2"/>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F0604B"/>
    <w:pPr>
      <w:spacing w:after="0" w:line="240" w:lineRule="auto"/>
    </w:pPr>
  </w:style>
  <w:style w:type="character" w:customStyle="1" w:styleId="Ttulo1Car">
    <w:name w:val="Título 1 Car"/>
    <w:basedOn w:val="Fuentedeprrafopredeter"/>
    <w:link w:val="Ttulo1"/>
    <w:uiPriority w:val="9"/>
    <w:rsid w:val="00F0604B"/>
    <w:rPr>
      <w:rFonts w:ascii="Arial" w:eastAsiaTheme="majorEastAsia" w:hAnsi="Arial" w:cstheme="majorBidi"/>
      <w:b/>
      <w:sz w:val="24"/>
      <w:szCs w:val="32"/>
    </w:rPr>
  </w:style>
  <w:style w:type="character" w:customStyle="1" w:styleId="Ttulo2Car">
    <w:name w:val="Título 2 Car"/>
    <w:basedOn w:val="Fuentedeprrafopredeter"/>
    <w:link w:val="Ttulo2"/>
    <w:uiPriority w:val="9"/>
    <w:rsid w:val="00F0604B"/>
    <w:rPr>
      <w:rFonts w:ascii="Arial" w:eastAsiaTheme="majorEastAsia" w:hAnsi="Arial" w:cstheme="majorBidi"/>
      <w:b/>
      <w:sz w:val="24"/>
      <w:szCs w:val="26"/>
    </w:rPr>
  </w:style>
  <w:style w:type="character" w:customStyle="1" w:styleId="Ttulo3Car">
    <w:name w:val="Título 3 Car"/>
    <w:basedOn w:val="Fuentedeprrafopredeter"/>
    <w:link w:val="Ttulo3"/>
    <w:uiPriority w:val="9"/>
    <w:rsid w:val="00F0604B"/>
    <w:rPr>
      <w:rFonts w:ascii="Arial" w:eastAsiaTheme="majorEastAsia" w:hAnsi="Arial" w:cstheme="majorBidi"/>
      <w:b/>
      <w:sz w:val="24"/>
      <w:szCs w:val="26"/>
    </w:rPr>
  </w:style>
  <w:style w:type="character" w:customStyle="1" w:styleId="SinespaciadoCar">
    <w:name w:val="Sin espaciado Car"/>
    <w:basedOn w:val="Fuentedeprrafopredeter"/>
    <w:link w:val="Sinespaciado"/>
    <w:uiPriority w:val="1"/>
    <w:rsid w:val="00F0604B"/>
  </w:style>
  <w:style w:type="paragraph" w:styleId="Prrafodelista">
    <w:name w:val="List Paragraph"/>
    <w:basedOn w:val="Normal"/>
    <w:uiPriority w:val="34"/>
    <w:qFormat/>
    <w:rsid w:val="000B17F0"/>
    <w:pPr>
      <w:ind w:left="720"/>
      <w:contextualSpacing/>
    </w:pPr>
  </w:style>
  <w:style w:type="paragraph" w:styleId="Encabezado">
    <w:name w:val="header"/>
    <w:basedOn w:val="Normal"/>
    <w:link w:val="EncabezadoCar"/>
    <w:uiPriority w:val="99"/>
    <w:unhideWhenUsed/>
    <w:rsid w:val="009E1037"/>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9E1037"/>
    <w:rPr>
      <w:rFonts w:ascii="Arial" w:hAnsi="Arial"/>
      <w:sz w:val="24"/>
    </w:rPr>
  </w:style>
  <w:style w:type="paragraph" w:styleId="Piedepgina">
    <w:name w:val="footer"/>
    <w:basedOn w:val="Normal"/>
    <w:link w:val="PiedepginaCar"/>
    <w:uiPriority w:val="99"/>
    <w:unhideWhenUsed/>
    <w:rsid w:val="009E1037"/>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9E1037"/>
    <w:rPr>
      <w:rFonts w:ascii="Arial" w:hAnsi="Arial"/>
      <w:sz w:val="24"/>
    </w:rPr>
  </w:style>
  <w:style w:type="paragraph" w:styleId="TtulodeTDC">
    <w:name w:val="TOC Heading"/>
    <w:basedOn w:val="Ttulo1"/>
    <w:next w:val="Normal"/>
    <w:uiPriority w:val="39"/>
    <w:unhideWhenUsed/>
    <w:qFormat/>
    <w:rsid w:val="00906BF1"/>
    <w:pPr>
      <w:spacing w:before="240" w:line="259" w:lineRule="auto"/>
      <w:jc w:val="left"/>
      <w:outlineLvl w:val="9"/>
    </w:pPr>
    <w:rPr>
      <w:rFonts w:asciiTheme="majorHAnsi" w:hAnsiTheme="majorHAnsi"/>
      <w:b w:val="0"/>
      <w:color w:val="2E74B5" w:themeColor="accent1" w:themeShade="BF"/>
      <w:sz w:val="32"/>
      <w:lang w:eastAsia="es-GT"/>
    </w:rPr>
  </w:style>
  <w:style w:type="paragraph" w:styleId="TDC1">
    <w:name w:val="toc 1"/>
    <w:basedOn w:val="Normal"/>
    <w:next w:val="Normal"/>
    <w:autoRedefine/>
    <w:uiPriority w:val="39"/>
    <w:unhideWhenUsed/>
    <w:rsid w:val="00906BF1"/>
    <w:pPr>
      <w:spacing w:after="100"/>
    </w:pPr>
  </w:style>
  <w:style w:type="paragraph" w:styleId="TDC2">
    <w:name w:val="toc 2"/>
    <w:basedOn w:val="Normal"/>
    <w:next w:val="Normal"/>
    <w:autoRedefine/>
    <w:uiPriority w:val="39"/>
    <w:unhideWhenUsed/>
    <w:rsid w:val="00906BF1"/>
    <w:pPr>
      <w:spacing w:after="100"/>
      <w:ind w:left="240"/>
    </w:pPr>
  </w:style>
  <w:style w:type="character" w:styleId="Hipervnculo">
    <w:name w:val="Hyperlink"/>
    <w:basedOn w:val="Fuentedeprrafopredeter"/>
    <w:uiPriority w:val="99"/>
    <w:unhideWhenUsed/>
    <w:rsid w:val="00906BF1"/>
    <w:rPr>
      <w:color w:val="0563C1" w:themeColor="hyperlink"/>
      <w:u w:val="single"/>
    </w:rPr>
  </w:style>
  <w:style w:type="paragraph" w:styleId="Textodeglobo">
    <w:name w:val="Balloon Text"/>
    <w:basedOn w:val="Normal"/>
    <w:link w:val="TextodegloboCar"/>
    <w:uiPriority w:val="99"/>
    <w:semiHidden/>
    <w:unhideWhenUsed/>
    <w:rsid w:val="00A87B3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87B33"/>
    <w:rPr>
      <w:rFonts w:ascii="Segoe UI" w:hAnsi="Segoe UI" w:cs="Segoe UI"/>
      <w:sz w:val="18"/>
      <w:szCs w:val="18"/>
    </w:rPr>
  </w:style>
  <w:style w:type="paragraph" w:customStyle="1" w:styleId="Prrafobsico">
    <w:name w:val="[Párrafo básico]"/>
    <w:basedOn w:val="Normal"/>
    <w:uiPriority w:val="99"/>
    <w:rsid w:val="0030751D"/>
    <w:pPr>
      <w:autoSpaceDE w:val="0"/>
      <w:autoSpaceDN w:val="0"/>
      <w:adjustRightInd w:val="0"/>
      <w:spacing w:line="288" w:lineRule="auto"/>
      <w:jc w:val="left"/>
      <w:textAlignment w:val="center"/>
    </w:pPr>
    <w:rPr>
      <w:rFonts w:ascii="MinionPro-Regular" w:hAnsi="MinionPro-Regular" w:cs="MinionPro-Regular"/>
      <w:color w:val="000000"/>
      <w:szCs w:val="24"/>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576180">
      <w:bodyDiv w:val="1"/>
      <w:marLeft w:val="0"/>
      <w:marRight w:val="0"/>
      <w:marTop w:val="0"/>
      <w:marBottom w:val="0"/>
      <w:divBdr>
        <w:top w:val="none" w:sz="0" w:space="0" w:color="auto"/>
        <w:left w:val="none" w:sz="0" w:space="0" w:color="auto"/>
        <w:bottom w:val="none" w:sz="0" w:space="0" w:color="auto"/>
        <w:right w:val="none" w:sz="0" w:space="0" w:color="auto"/>
      </w:divBdr>
    </w:div>
    <w:div w:id="122114503">
      <w:bodyDiv w:val="1"/>
      <w:marLeft w:val="0"/>
      <w:marRight w:val="0"/>
      <w:marTop w:val="0"/>
      <w:marBottom w:val="0"/>
      <w:divBdr>
        <w:top w:val="none" w:sz="0" w:space="0" w:color="auto"/>
        <w:left w:val="none" w:sz="0" w:space="0" w:color="auto"/>
        <w:bottom w:val="none" w:sz="0" w:space="0" w:color="auto"/>
        <w:right w:val="none" w:sz="0" w:space="0" w:color="auto"/>
      </w:divBdr>
    </w:div>
    <w:div w:id="202905794">
      <w:bodyDiv w:val="1"/>
      <w:marLeft w:val="0"/>
      <w:marRight w:val="0"/>
      <w:marTop w:val="0"/>
      <w:marBottom w:val="0"/>
      <w:divBdr>
        <w:top w:val="none" w:sz="0" w:space="0" w:color="auto"/>
        <w:left w:val="none" w:sz="0" w:space="0" w:color="auto"/>
        <w:bottom w:val="none" w:sz="0" w:space="0" w:color="auto"/>
        <w:right w:val="none" w:sz="0" w:space="0" w:color="auto"/>
      </w:divBdr>
    </w:div>
    <w:div w:id="217136671">
      <w:bodyDiv w:val="1"/>
      <w:marLeft w:val="0"/>
      <w:marRight w:val="0"/>
      <w:marTop w:val="0"/>
      <w:marBottom w:val="0"/>
      <w:divBdr>
        <w:top w:val="none" w:sz="0" w:space="0" w:color="auto"/>
        <w:left w:val="none" w:sz="0" w:space="0" w:color="auto"/>
        <w:bottom w:val="none" w:sz="0" w:space="0" w:color="auto"/>
        <w:right w:val="none" w:sz="0" w:space="0" w:color="auto"/>
      </w:divBdr>
    </w:div>
    <w:div w:id="219945788">
      <w:bodyDiv w:val="1"/>
      <w:marLeft w:val="0"/>
      <w:marRight w:val="0"/>
      <w:marTop w:val="0"/>
      <w:marBottom w:val="0"/>
      <w:divBdr>
        <w:top w:val="none" w:sz="0" w:space="0" w:color="auto"/>
        <w:left w:val="none" w:sz="0" w:space="0" w:color="auto"/>
        <w:bottom w:val="none" w:sz="0" w:space="0" w:color="auto"/>
        <w:right w:val="none" w:sz="0" w:space="0" w:color="auto"/>
      </w:divBdr>
    </w:div>
    <w:div w:id="469640494">
      <w:bodyDiv w:val="1"/>
      <w:marLeft w:val="0"/>
      <w:marRight w:val="0"/>
      <w:marTop w:val="0"/>
      <w:marBottom w:val="0"/>
      <w:divBdr>
        <w:top w:val="none" w:sz="0" w:space="0" w:color="auto"/>
        <w:left w:val="none" w:sz="0" w:space="0" w:color="auto"/>
        <w:bottom w:val="none" w:sz="0" w:space="0" w:color="auto"/>
        <w:right w:val="none" w:sz="0" w:space="0" w:color="auto"/>
      </w:divBdr>
    </w:div>
    <w:div w:id="618686131">
      <w:bodyDiv w:val="1"/>
      <w:marLeft w:val="0"/>
      <w:marRight w:val="0"/>
      <w:marTop w:val="0"/>
      <w:marBottom w:val="0"/>
      <w:divBdr>
        <w:top w:val="none" w:sz="0" w:space="0" w:color="auto"/>
        <w:left w:val="none" w:sz="0" w:space="0" w:color="auto"/>
        <w:bottom w:val="none" w:sz="0" w:space="0" w:color="auto"/>
        <w:right w:val="none" w:sz="0" w:space="0" w:color="auto"/>
      </w:divBdr>
    </w:div>
    <w:div w:id="943539910">
      <w:bodyDiv w:val="1"/>
      <w:marLeft w:val="0"/>
      <w:marRight w:val="0"/>
      <w:marTop w:val="0"/>
      <w:marBottom w:val="0"/>
      <w:divBdr>
        <w:top w:val="none" w:sz="0" w:space="0" w:color="auto"/>
        <w:left w:val="none" w:sz="0" w:space="0" w:color="auto"/>
        <w:bottom w:val="none" w:sz="0" w:space="0" w:color="auto"/>
        <w:right w:val="none" w:sz="0" w:space="0" w:color="auto"/>
      </w:divBdr>
    </w:div>
    <w:div w:id="955017854">
      <w:bodyDiv w:val="1"/>
      <w:marLeft w:val="0"/>
      <w:marRight w:val="0"/>
      <w:marTop w:val="0"/>
      <w:marBottom w:val="0"/>
      <w:divBdr>
        <w:top w:val="none" w:sz="0" w:space="0" w:color="auto"/>
        <w:left w:val="none" w:sz="0" w:space="0" w:color="auto"/>
        <w:bottom w:val="none" w:sz="0" w:space="0" w:color="auto"/>
        <w:right w:val="none" w:sz="0" w:space="0" w:color="auto"/>
      </w:divBdr>
    </w:div>
    <w:div w:id="1036353500">
      <w:bodyDiv w:val="1"/>
      <w:marLeft w:val="0"/>
      <w:marRight w:val="0"/>
      <w:marTop w:val="0"/>
      <w:marBottom w:val="0"/>
      <w:divBdr>
        <w:top w:val="none" w:sz="0" w:space="0" w:color="auto"/>
        <w:left w:val="none" w:sz="0" w:space="0" w:color="auto"/>
        <w:bottom w:val="none" w:sz="0" w:space="0" w:color="auto"/>
        <w:right w:val="none" w:sz="0" w:space="0" w:color="auto"/>
      </w:divBdr>
    </w:div>
    <w:div w:id="1252009667">
      <w:bodyDiv w:val="1"/>
      <w:marLeft w:val="0"/>
      <w:marRight w:val="0"/>
      <w:marTop w:val="0"/>
      <w:marBottom w:val="0"/>
      <w:divBdr>
        <w:top w:val="none" w:sz="0" w:space="0" w:color="auto"/>
        <w:left w:val="none" w:sz="0" w:space="0" w:color="auto"/>
        <w:bottom w:val="none" w:sz="0" w:space="0" w:color="auto"/>
        <w:right w:val="none" w:sz="0" w:space="0" w:color="auto"/>
      </w:divBdr>
    </w:div>
    <w:div w:id="1307735913">
      <w:bodyDiv w:val="1"/>
      <w:marLeft w:val="0"/>
      <w:marRight w:val="0"/>
      <w:marTop w:val="0"/>
      <w:marBottom w:val="0"/>
      <w:divBdr>
        <w:top w:val="none" w:sz="0" w:space="0" w:color="auto"/>
        <w:left w:val="none" w:sz="0" w:space="0" w:color="auto"/>
        <w:bottom w:val="none" w:sz="0" w:space="0" w:color="auto"/>
        <w:right w:val="none" w:sz="0" w:space="0" w:color="auto"/>
      </w:divBdr>
    </w:div>
    <w:div w:id="1341589982">
      <w:bodyDiv w:val="1"/>
      <w:marLeft w:val="0"/>
      <w:marRight w:val="0"/>
      <w:marTop w:val="0"/>
      <w:marBottom w:val="0"/>
      <w:divBdr>
        <w:top w:val="none" w:sz="0" w:space="0" w:color="auto"/>
        <w:left w:val="none" w:sz="0" w:space="0" w:color="auto"/>
        <w:bottom w:val="none" w:sz="0" w:space="0" w:color="auto"/>
        <w:right w:val="none" w:sz="0" w:space="0" w:color="auto"/>
      </w:divBdr>
    </w:div>
    <w:div w:id="1384065156">
      <w:bodyDiv w:val="1"/>
      <w:marLeft w:val="0"/>
      <w:marRight w:val="0"/>
      <w:marTop w:val="0"/>
      <w:marBottom w:val="0"/>
      <w:divBdr>
        <w:top w:val="none" w:sz="0" w:space="0" w:color="auto"/>
        <w:left w:val="none" w:sz="0" w:space="0" w:color="auto"/>
        <w:bottom w:val="none" w:sz="0" w:space="0" w:color="auto"/>
        <w:right w:val="none" w:sz="0" w:space="0" w:color="auto"/>
      </w:divBdr>
    </w:div>
    <w:div w:id="1468280254">
      <w:bodyDiv w:val="1"/>
      <w:marLeft w:val="0"/>
      <w:marRight w:val="0"/>
      <w:marTop w:val="0"/>
      <w:marBottom w:val="0"/>
      <w:divBdr>
        <w:top w:val="none" w:sz="0" w:space="0" w:color="auto"/>
        <w:left w:val="none" w:sz="0" w:space="0" w:color="auto"/>
        <w:bottom w:val="none" w:sz="0" w:space="0" w:color="auto"/>
        <w:right w:val="none" w:sz="0" w:space="0" w:color="auto"/>
      </w:divBdr>
    </w:div>
    <w:div w:id="1559435338">
      <w:bodyDiv w:val="1"/>
      <w:marLeft w:val="0"/>
      <w:marRight w:val="0"/>
      <w:marTop w:val="0"/>
      <w:marBottom w:val="0"/>
      <w:divBdr>
        <w:top w:val="none" w:sz="0" w:space="0" w:color="auto"/>
        <w:left w:val="none" w:sz="0" w:space="0" w:color="auto"/>
        <w:bottom w:val="none" w:sz="0" w:space="0" w:color="auto"/>
        <w:right w:val="none" w:sz="0" w:space="0" w:color="auto"/>
      </w:divBdr>
    </w:div>
    <w:div w:id="1695960601">
      <w:bodyDiv w:val="1"/>
      <w:marLeft w:val="0"/>
      <w:marRight w:val="0"/>
      <w:marTop w:val="0"/>
      <w:marBottom w:val="0"/>
      <w:divBdr>
        <w:top w:val="none" w:sz="0" w:space="0" w:color="auto"/>
        <w:left w:val="none" w:sz="0" w:space="0" w:color="auto"/>
        <w:bottom w:val="none" w:sz="0" w:space="0" w:color="auto"/>
        <w:right w:val="none" w:sz="0" w:space="0" w:color="auto"/>
      </w:divBdr>
    </w:div>
    <w:div w:id="1719938293">
      <w:bodyDiv w:val="1"/>
      <w:marLeft w:val="0"/>
      <w:marRight w:val="0"/>
      <w:marTop w:val="0"/>
      <w:marBottom w:val="0"/>
      <w:divBdr>
        <w:top w:val="none" w:sz="0" w:space="0" w:color="auto"/>
        <w:left w:val="none" w:sz="0" w:space="0" w:color="auto"/>
        <w:bottom w:val="none" w:sz="0" w:space="0" w:color="auto"/>
        <w:right w:val="none" w:sz="0" w:space="0" w:color="auto"/>
      </w:divBdr>
    </w:div>
    <w:div w:id="1797140914">
      <w:bodyDiv w:val="1"/>
      <w:marLeft w:val="0"/>
      <w:marRight w:val="0"/>
      <w:marTop w:val="0"/>
      <w:marBottom w:val="0"/>
      <w:divBdr>
        <w:top w:val="none" w:sz="0" w:space="0" w:color="auto"/>
        <w:left w:val="none" w:sz="0" w:space="0" w:color="auto"/>
        <w:bottom w:val="none" w:sz="0" w:space="0" w:color="auto"/>
        <w:right w:val="none" w:sz="0" w:space="0" w:color="auto"/>
      </w:divBdr>
    </w:div>
    <w:div w:id="2003463287">
      <w:bodyDiv w:val="1"/>
      <w:marLeft w:val="0"/>
      <w:marRight w:val="0"/>
      <w:marTop w:val="0"/>
      <w:marBottom w:val="0"/>
      <w:divBdr>
        <w:top w:val="none" w:sz="0" w:space="0" w:color="auto"/>
        <w:left w:val="none" w:sz="0" w:space="0" w:color="auto"/>
        <w:bottom w:val="none" w:sz="0" w:space="0" w:color="auto"/>
        <w:right w:val="none" w:sz="0" w:space="0" w:color="auto"/>
      </w:divBdr>
    </w:div>
    <w:div w:id="2028829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chart" Target="charts/chart5.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chart" Target="charts/chart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6.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a:t>Presupuesto de la entidad</a:t>
            </a:r>
            <a:br>
              <a:rPr lang="es-GT"/>
            </a:br>
            <a:endParaRPr lang="es-GT"/>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'[1. Ejecución por Grupo de Gasto CPCC 1er Cuatrimestre 2023.xlsx]EJEC x GRUPO DE GASTO'!$E$6:$H$6</c:f>
              <c:strCache>
                <c:ptCount val="4"/>
                <c:pt idx="0">
                  <c:v>Asignado</c:v>
                </c:pt>
                <c:pt idx="1">
                  <c:v>Vigente</c:v>
                </c:pt>
                <c:pt idx="2">
                  <c:v>Ejecutado</c:v>
                </c:pt>
                <c:pt idx="3">
                  <c:v>Saldo</c:v>
                </c:pt>
              </c:strCache>
            </c:strRef>
          </c:tx>
          <c:spPr>
            <a:solidFill>
              <a:schemeClr val="accent1"/>
            </a:solidFill>
            <a:ln w="1270">
              <a:solidFill>
                <a:sysClr val="windowText" lastClr="000000"/>
              </a:solidFill>
            </a:ln>
            <a:effectLst/>
          </c:spPr>
          <c:invertIfNegative val="0"/>
          <c:dPt>
            <c:idx val="0"/>
            <c:invertIfNegative val="0"/>
            <c:bubble3D val="0"/>
            <c:spPr>
              <a:solidFill>
                <a:srgbClr val="002E91"/>
              </a:solidFill>
              <a:ln w="1270">
                <a:solidFill>
                  <a:sysClr val="windowText" lastClr="000000"/>
                </a:solidFill>
              </a:ln>
              <a:effectLst/>
            </c:spPr>
            <c:extLst xmlns:c16r2="http://schemas.microsoft.com/office/drawing/2015/06/chart">
              <c:ext xmlns:c16="http://schemas.microsoft.com/office/drawing/2014/chart" uri="{C3380CC4-5D6E-409C-BE32-E72D297353CC}">
                <c16:uniqueId val="{00000000-D9F0-42FB-861F-8D80C0C5687D}"/>
              </c:ext>
            </c:extLst>
          </c:dPt>
          <c:dPt>
            <c:idx val="1"/>
            <c:invertIfNegative val="0"/>
            <c:bubble3D val="0"/>
            <c:spPr>
              <a:solidFill>
                <a:srgbClr val="04B5B3"/>
              </a:solidFill>
              <a:ln w="1270">
                <a:solidFill>
                  <a:sysClr val="windowText" lastClr="000000"/>
                </a:solidFill>
              </a:ln>
              <a:effectLst/>
            </c:spPr>
            <c:extLst xmlns:c16r2="http://schemas.microsoft.com/office/drawing/2015/06/chart">
              <c:ext xmlns:c16="http://schemas.microsoft.com/office/drawing/2014/chart" uri="{C3380CC4-5D6E-409C-BE32-E72D297353CC}">
                <c16:uniqueId val="{00000001-D9F0-42FB-861F-8D80C0C5687D}"/>
              </c:ext>
            </c:extLst>
          </c:dPt>
          <c:dPt>
            <c:idx val="2"/>
            <c:invertIfNegative val="0"/>
            <c:bubble3D val="0"/>
            <c:spPr>
              <a:solidFill>
                <a:srgbClr val="F1CAA2"/>
              </a:solidFill>
              <a:ln w="1270">
                <a:solidFill>
                  <a:sysClr val="windowText" lastClr="000000"/>
                </a:solidFill>
              </a:ln>
              <a:effectLst/>
            </c:spPr>
            <c:extLst xmlns:c16r2="http://schemas.microsoft.com/office/drawing/2015/06/chart">
              <c:ext xmlns:c16="http://schemas.microsoft.com/office/drawing/2014/chart" uri="{C3380CC4-5D6E-409C-BE32-E72D297353CC}">
                <c16:uniqueId val="{00000005-F5E6-4613-B5CE-0D155EA27FA4}"/>
              </c:ext>
            </c:extLst>
          </c:dPt>
          <c:dPt>
            <c:idx val="3"/>
            <c:invertIfNegative val="0"/>
            <c:bubble3D val="0"/>
            <c:spPr>
              <a:solidFill>
                <a:srgbClr val="92D050"/>
              </a:solidFill>
              <a:ln w="1270">
                <a:solidFill>
                  <a:sysClr val="windowText" lastClr="000000"/>
                </a:solidFill>
              </a:ln>
              <a:effectLst/>
            </c:spPr>
            <c:extLst xmlns:c16r2="http://schemas.microsoft.com/office/drawing/2015/06/chart">
              <c:ext xmlns:c16="http://schemas.microsoft.com/office/drawing/2014/chart" uri="{C3380CC4-5D6E-409C-BE32-E72D297353CC}">
                <c16:uniqueId val="{00000007-F5E6-4613-B5CE-0D155EA27FA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 Ejecución por Grupo de Gasto CPCC 1er Cuatrimestre 2023.xlsx]EJEC x GRUPO DE GASTO'!$E$6:$H$6</c:f>
              <c:strCache>
                <c:ptCount val="4"/>
                <c:pt idx="0">
                  <c:v>Asignado</c:v>
                </c:pt>
                <c:pt idx="1">
                  <c:v>Vigente</c:v>
                </c:pt>
                <c:pt idx="2">
                  <c:v>Ejecutado</c:v>
                </c:pt>
                <c:pt idx="3">
                  <c:v>Saldo</c:v>
                </c:pt>
              </c:strCache>
            </c:strRef>
          </c:cat>
          <c:val>
            <c:numRef>
              <c:f>'[1. Ejecución por Grupo de Gasto CPCC 1er Cuatrimestre 2023.xlsx]EJEC x GRUPO DE GASTO'!$E$15:$H$15</c:f>
              <c:numCache>
                <c:formatCode>#,##0.00</c:formatCode>
                <c:ptCount val="4"/>
                <c:pt idx="0">
                  <c:v>4010180</c:v>
                </c:pt>
                <c:pt idx="1">
                  <c:v>4010180</c:v>
                </c:pt>
                <c:pt idx="2">
                  <c:v>1145421.72</c:v>
                </c:pt>
                <c:pt idx="3">
                  <c:v>2864758.2800000003</c:v>
                </c:pt>
              </c:numCache>
            </c:numRef>
          </c:val>
          <c:extLst xmlns:c16r2="http://schemas.microsoft.com/office/drawing/2015/06/chart">
            <c:ext xmlns:c16="http://schemas.microsoft.com/office/drawing/2014/chart" uri="{C3380CC4-5D6E-409C-BE32-E72D297353CC}">
              <c16:uniqueId val="{00000000-169D-4085-B73C-B36888825415}"/>
            </c:ext>
          </c:extLst>
        </c:ser>
        <c:dLbls>
          <c:showLegendKey val="0"/>
          <c:showVal val="0"/>
          <c:showCatName val="0"/>
          <c:showSerName val="0"/>
          <c:showPercent val="0"/>
          <c:showBubbleSize val="0"/>
        </c:dLbls>
        <c:gapWidth val="90"/>
        <c:overlap val="-27"/>
        <c:axId val="544544632"/>
        <c:axId val="544545024"/>
      </c:barChart>
      <c:catAx>
        <c:axId val="5445446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544545024"/>
        <c:crosses val="autoZero"/>
        <c:auto val="1"/>
        <c:lblAlgn val="ctr"/>
        <c:lblOffset val="100"/>
        <c:noMultiLvlLbl val="0"/>
      </c:catAx>
      <c:valAx>
        <c:axId val="544545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GT"/>
                  <a:t>Cifras en quetzales</a:t>
                </a:r>
              </a:p>
            </c:rich>
          </c:tx>
          <c:layout>
            <c:manualLayout>
              <c:xMode val="edge"/>
              <c:yMode val="edge"/>
              <c:x val="2.7894008915979512E-2"/>
              <c:y val="0.267930154564012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544544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a:t>Porcentaje</a:t>
            </a:r>
            <a:r>
              <a:rPr lang="es-GT" baseline="0"/>
              <a:t> de ejecución</a:t>
            </a:r>
            <a:r>
              <a:rPr lang="es-GT"/>
              <a:t/>
            </a:r>
            <a:br>
              <a:rPr lang="es-GT"/>
            </a:br>
            <a:endParaRPr lang="es-GT"/>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'[1. Ejecución por Grupo de Gasto CPCC 1er Cuatrimestre 2023.xlsx]EJEC x GRUPO DE GASTO'!$F$6:$G$6</c:f>
              <c:strCache>
                <c:ptCount val="2"/>
                <c:pt idx="0">
                  <c:v>Vigente</c:v>
                </c:pt>
                <c:pt idx="1">
                  <c:v>Ejecutado</c:v>
                </c:pt>
              </c:strCache>
            </c:strRef>
          </c:tx>
          <c:spPr>
            <a:solidFill>
              <a:schemeClr val="accent1"/>
            </a:solidFill>
            <a:ln>
              <a:solidFill>
                <a:sysClr val="windowText" lastClr="000000"/>
              </a:solidFill>
            </a:ln>
            <a:effectLst/>
          </c:spPr>
          <c:invertIfNegative val="0"/>
          <c:dPt>
            <c:idx val="0"/>
            <c:invertIfNegative val="0"/>
            <c:bubble3D val="0"/>
            <c:spPr>
              <a:solidFill>
                <a:srgbClr val="04B5B3"/>
              </a:solidFill>
              <a:ln>
                <a:solidFill>
                  <a:sysClr val="windowText" lastClr="000000"/>
                </a:solidFill>
              </a:ln>
              <a:effectLst/>
            </c:spPr>
            <c:extLst xmlns:c16r2="http://schemas.microsoft.com/office/drawing/2015/06/chart">
              <c:ext xmlns:c16="http://schemas.microsoft.com/office/drawing/2014/chart" uri="{C3380CC4-5D6E-409C-BE32-E72D297353CC}">
                <c16:uniqueId val="{00000001-2ACF-439D-93F7-3D75E3551F38}"/>
              </c:ext>
            </c:extLst>
          </c:dPt>
          <c:dPt>
            <c:idx val="1"/>
            <c:invertIfNegative val="0"/>
            <c:bubble3D val="0"/>
            <c:spPr>
              <a:solidFill>
                <a:srgbClr val="F1CAA2"/>
              </a:solidFill>
              <a:ln>
                <a:solidFill>
                  <a:sysClr val="windowText" lastClr="000000"/>
                </a:solidFill>
              </a:ln>
              <a:effectLst/>
            </c:spPr>
            <c:extLst xmlns:c16r2="http://schemas.microsoft.com/office/drawing/2015/06/chart">
              <c:ext xmlns:c16="http://schemas.microsoft.com/office/drawing/2014/chart" uri="{C3380CC4-5D6E-409C-BE32-E72D297353CC}">
                <c16:uniqueId val="{00000001-D9F0-42FB-861F-8D80C0C5687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 Ejecución por Grupo de Gasto CPCC 1er Cuatrimestre 2023.xlsx]EJEC x GRUPO DE GASTO'!$J$6:$K$6</c:f>
              <c:strCache>
                <c:ptCount val="2"/>
                <c:pt idx="0">
                  <c:v>Vigente</c:v>
                </c:pt>
                <c:pt idx="1">
                  <c:v>Ejecutado</c:v>
                </c:pt>
              </c:strCache>
            </c:strRef>
          </c:cat>
          <c:val>
            <c:numRef>
              <c:f>'[1. Ejecución por Grupo de Gasto CPCC 1er Cuatrimestre 2023.xlsx]EJEC x GRUPO DE GASTO'!$J$7:$K$7</c:f>
              <c:numCache>
                <c:formatCode>0.00%</c:formatCode>
                <c:ptCount val="2"/>
                <c:pt idx="0" formatCode="0%">
                  <c:v>1</c:v>
                </c:pt>
                <c:pt idx="1">
                  <c:v>0.28562850545362051</c:v>
                </c:pt>
              </c:numCache>
            </c:numRef>
          </c:val>
          <c:extLst xmlns:c16r2="http://schemas.microsoft.com/office/drawing/2015/06/chart">
            <c:ext xmlns:c16="http://schemas.microsoft.com/office/drawing/2014/chart" uri="{C3380CC4-5D6E-409C-BE32-E72D297353CC}">
              <c16:uniqueId val="{00000000-169D-4085-B73C-B36888825415}"/>
            </c:ext>
          </c:extLst>
        </c:ser>
        <c:dLbls>
          <c:showLegendKey val="0"/>
          <c:showVal val="0"/>
          <c:showCatName val="0"/>
          <c:showSerName val="0"/>
          <c:showPercent val="0"/>
          <c:showBubbleSize val="0"/>
        </c:dLbls>
        <c:gapWidth val="219"/>
        <c:overlap val="-27"/>
        <c:axId val="544545416"/>
        <c:axId val="544545808"/>
      </c:barChart>
      <c:catAx>
        <c:axId val="5445454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544545808"/>
        <c:crosses val="autoZero"/>
        <c:auto val="1"/>
        <c:lblAlgn val="ctr"/>
        <c:lblOffset val="100"/>
        <c:noMultiLvlLbl val="0"/>
      </c:catAx>
      <c:valAx>
        <c:axId val="54454580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GT"/>
                  <a:t>Cifras en quetzales</a:t>
                </a:r>
              </a:p>
            </c:rich>
          </c:tx>
          <c:layout>
            <c:manualLayout>
              <c:xMode val="edge"/>
              <c:yMode val="edge"/>
              <c:x val="2.7894008915979512E-2"/>
              <c:y val="0.267930154564012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544545416"/>
        <c:crosses val="autoZero"/>
        <c:crossBetween val="between"/>
        <c:majorUnit val="0.2"/>
        <c:minorUnit val="0.2"/>
      </c:valAx>
      <c:spPr>
        <a:noFill/>
        <a:ln>
          <a:noFill/>
        </a:ln>
        <a:effectLst/>
      </c:spPr>
    </c:plotArea>
    <c:plotVisOnly val="1"/>
    <c:dispBlanksAs val="gap"/>
    <c:showDLblsOverMax val="0"/>
  </c:chart>
  <c:spPr>
    <a:solidFill>
      <a:schemeClr val="bg1"/>
    </a:solidFill>
    <a:ln w="1270"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a:t>Ejecución Presupuestaria</a:t>
            </a:r>
          </a:p>
          <a:p>
            <a:pPr>
              <a:defRPr/>
            </a:pPr>
            <a:r>
              <a:rPr lang="es-GT"/>
              <a:t>Grupo</a:t>
            </a:r>
            <a:r>
              <a:rPr lang="es-GT" baseline="0"/>
              <a:t> de gasto</a:t>
            </a:r>
            <a:r>
              <a:rPr lang="es-GT"/>
              <a:t/>
            </a:r>
            <a:br>
              <a:rPr lang="es-GT"/>
            </a:br>
            <a:endParaRPr lang="es-GT"/>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2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'[1. Ejecución por Grupo de Gasto CPCC 1er Cuatrimestre 2023.xlsx]EJEC x GRUPO DE GASTO'!$E$6:$E$7</c:f>
              <c:strCache>
                <c:ptCount val="2"/>
                <c:pt idx="0">
                  <c:v>Asignado</c:v>
                </c:pt>
              </c:strCache>
            </c:strRef>
          </c:tx>
          <c:spPr>
            <a:solidFill>
              <a:srgbClr val="002E91"/>
            </a:solidFill>
            <a:ln>
              <a:solidFill>
                <a:sysClr val="windowText" lastClr="000000"/>
              </a:solidFill>
            </a:ln>
            <a:effectLst/>
            <a:sp3d>
              <a:contourClr>
                <a:sysClr val="windowText" lastClr="000000"/>
              </a:contourClr>
            </a:sp3d>
          </c:spPr>
          <c:invertIfNegative val="0"/>
          <c:cat>
            <c:strRef>
              <c:f>'[1. Ejecución por Grupo de Gasto CPCC 1er Cuatrimestre 2023.xlsx]EJEC x GRUPO DE GASTO'!$C$8:$C$13</c:f>
              <c:strCache>
                <c:ptCount val="3"/>
                <c:pt idx="0">
                  <c:v>Grupo 0</c:v>
                </c:pt>
                <c:pt idx="1">
                  <c:v>Grupo 1</c:v>
                </c:pt>
                <c:pt idx="2">
                  <c:v>Grupo 2</c:v>
                </c:pt>
              </c:strCache>
            </c:strRef>
          </c:cat>
          <c:val>
            <c:numRef>
              <c:f>'[1. Ejecución por Grupo de Gasto CPCC 1er Cuatrimestre 2023.xlsx]EJEC x GRUPO DE GASTO'!$E$8:$E$13</c:f>
              <c:numCache>
                <c:formatCode>#,##0.00</c:formatCode>
                <c:ptCount val="3"/>
                <c:pt idx="0">
                  <c:v>2540370</c:v>
                </c:pt>
                <c:pt idx="1">
                  <c:v>1044305</c:v>
                </c:pt>
                <c:pt idx="2">
                  <c:v>404745</c:v>
                </c:pt>
              </c:numCache>
            </c:numRef>
          </c:val>
          <c:extLst xmlns:c16r2="http://schemas.microsoft.com/office/drawing/2015/06/chart">
            <c:ext xmlns:c16="http://schemas.microsoft.com/office/drawing/2014/chart" uri="{C3380CC4-5D6E-409C-BE32-E72D297353CC}">
              <c16:uniqueId val="{00000000-169D-4085-B73C-B36888825415}"/>
            </c:ext>
          </c:extLst>
        </c:ser>
        <c:ser>
          <c:idx val="1"/>
          <c:order val="1"/>
          <c:tx>
            <c:strRef>
              <c:f>'[1. Ejecución por Grupo de Gasto CPCC 1er Cuatrimestre 2023.xlsx]EJEC x GRUPO DE GASTO'!$F$6:$F$7</c:f>
              <c:strCache>
                <c:ptCount val="2"/>
                <c:pt idx="0">
                  <c:v>Vigente</c:v>
                </c:pt>
              </c:strCache>
            </c:strRef>
          </c:tx>
          <c:spPr>
            <a:solidFill>
              <a:srgbClr val="04B5B3"/>
            </a:solidFill>
            <a:ln>
              <a:solidFill>
                <a:sysClr val="windowText" lastClr="000000"/>
              </a:solidFill>
            </a:ln>
            <a:effectLst/>
            <a:sp3d>
              <a:contourClr>
                <a:sysClr val="windowText" lastClr="000000"/>
              </a:contourClr>
            </a:sp3d>
          </c:spPr>
          <c:invertIfNegative val="0"/>
          <c:cat>
            <c:strRef>
              <c:f>'[1. Ejecución por Grupo de Gasto CPCC 1er Cuatrimestre 2023.xlsx]EJEC x GRUPO DE GASTO'!$C$8:$C$13</c:f>
              <c:strCache>
                <c:ptCount val="3"/>
                <c:pt idx="0">
                  <c:v>Grupo 0</c:v>
                </c:pt>
                <c:pt idx="1">
                  <c:v>Grupo 1</c:v>
                </c:pt>
                <c:pt idx="2">
                  <c:v>Grupo 2</c:v>
                </c:pt>
              </c:strCache>
            </c:strRef>
          </c:cat>
          <c:val>
            <c:numRef>
              <c:f>'[1. Ejecución por Grupo de Gasto CPCC 1er Cuatrimestre 2023.xlsx]EJEC x GRUPO DE GASTO'!$F$8:$F$13</c:f>
              <c:numCache>
                <c:formatCode>#,##0.00</c:formatCode>
                <c:ptCount val="3"/>
                <c:pt idx="0">
                  <c:v>2540370</c:v>
                </c:pt>
                <c:pt idx="1">
                  <c:v>967305</c:v>
                </c:pt>
                <c:pt idx="2">
                  <c:v>409745</c:v>
                </c:pt>
              </c:numCache>
            </c:numRef>
          </c:val>
          <c:extLst xmlns:c16r2="http://schemas.microsoft.com/office/drawing/2015/06/chart">
            <c:ext xmlns:c16="http://schemas.microsoft.com/office/drawing/2014/chart" uri="{C3380CC4-5D6E-409C-BE32-E72D297353CC}">
              <c16:uniqueId val="{00000000-7E96-4015-ABD3-7C2477D3F6CE}"/>
            </c:ext>
          </c:extLst>
        </c:ser>
        <c:ser>
          <c:idx val="2"/>
          <c:order val="2"/>
          <c:tx>
            <c:strRef>
              <c:f>'[1. Ejecución por Grupo de Gasto CPCC 1er Cuatrimestre 2023.xlsx]EJEC x GRUPO DE GASTO'!$G$6:$G$7</c:f>
              <c:strCache>
                <c:ptCount val="2"/>
                <c:pt idx="0">
                  <c:v>Ejecutado</c:v>
                </c:pt>
              </c:strCache>
            </c:strRef>
          </c:tx>
          <c:spPr>
            <a:solidFill>
              <a:srgbClr val="F1CAA2"/>
            </a:solidFill>
            <a:ln>
              <a:solidFill>
                <a:sysClr val="windowText" lastClr="000000"/>
              </a:solidFill>
            </a:ln>
            <a:effectLst/>
            <a:sp3d>
              <a:contourClr>
                <a:sysClr val="windowText" lastClr="000000"/>
              </a:contourClr>
            </a:sp3d>
          </c:spPr>
          <c:invertIfNegative val="0"/>
          <c:cat>
            <c:strRef>
              <c:f>'[1. Ejecución por Grupo de Gasto CPCC 1er Cuatrimestre 2023.xlsx]EJEC x GRUPO DE GASTO'!$C$8:$C$13</c:f>
              <c:strCache>
                <c:ptCount val="3"/>
                <c:pt idx="0">
                  <c:v>Grupo 0</c:v>
                </c:pt>
                <c:pt idx="1">
                  <c:v>Grupo 1</c:v>
                </c:pt>
                <c:pt idx="2">
                  <c:v>Grupo 2</c:v>
                </c:pt>
              </c:strCache>
            </c:strRef>
          </c:cat>
          <c:val>
            <c:numRef>
              <c:f>'[1. Ejecución por Grupo de Gasto CPCC 1er Cuatrimestre 2023.xlsx]EJEC x GRUPO DE GASTO'!$G$8:$G$13</c:f>
              <c:numCache>
                <c:formatCode>#,##0.00</c:formatCode>
                <c:ptCount val="3"/>
                <c:pt idx="0">
                  <c:v>773857.81</c:v>
                </c:pt>
                <c:pt idx="1">
                  <c:v>230503.2</c:v>
                </c:pt>
                <c:pt idx="2">
                  <c:v>126827.71</c:v>
                </c:pt>
              </c:numCache>
            </c:numRef>
          </c:val>
          <c:extLst xmlns:c16r2="http://schemas.microsoft.com/office/drawing/2015/06/chart">
            <c:ext xmlns:c16="http://schemas.microsoft.com/office/drawing/2014/chart" uri="{C3380CC4-5D6E-409C-BE32-E72D297353CC}">
              <c16:uniqueId val="{00000001-7E96-4015-ABD3-7C2477D3F6CE}"/>
            </c:ext>
          </c:extLst>
        </c:ser>
        <c:ser>
          <c:idx val="3"/>
          <c:order val="3"/>
          <c:tx>
            <c:strRef>
              <c:f>'[1. Ejecución por Grupo de Gasto CPCC 1er Cuatrimestre 2023.xlsx]EJEC x GRUPO DE GASTO'!$H$6:$H$7</c:f>
              <c:strCache>
                <c:ptCount val="2"/>
                <c:pt idx="0">
                  <c:v>Saldo</c:v>
                </c:pt>
              </c:strCache>
            </c:strRef>
          </c:tx>
          <c:spPr>
            <a:solidFill>
              <a:srgbClr val="92D050"/>
            </a:solidFill>
            <a:ln>
              <a:solidFill>
                <a:sysClr val="windowText" lastClr="000000"/>
              </a:solidFill>
            </a:ln>
            <a:effectLst/>
            <a:sp3d>
              <a:contourClr>
                <a:sysClr val="windowText" lastClr="000000"/>
              </a:contourClr>
            </a:sp3d>
          </c:spPr>
          <c:invertIfNegative val="0"/>
          <c:cat>
            <c:strRef>
              <c:f>'[1. Ejecución por Grupo de Gasto CPCC 1er Cuatrimestre 2023.xlsx]EJEC x GRUPO DE GASTO'!$C$8:$C$13</c:f>
              <c:strCache>
                <c:ptCount val="3"/>
                <c:pt idx="0">
                  <c:v>Grupo 0</c:v>
                </c:pt>
                <c:pt idx="1">
                  <c:v>Grupo 1</c:v>
                </c:pt>
                <c:pt idx="2">
                  <c:v>Grupo 2</c:v>
                </c:pt>
              </c:strCache>
            </c:strRef>
          </c:cat>
          <c:val>
            <c:numRef>
              <c:f>'[1. Ejecución por Grupo de Gasto CPCC 1er Cuatrimestre 2023.xlsx]EJEC x GRUPO DE GASTO'!$H$8:$H$13</c:f>
              <c:numCache>
                <c:formatCode>#,##0.00</c:formatCode>
                <c:ptCount val="3"/>
                <c:pt idx="0">
                  <c:v>1766512.19</c:v>
                </c:pt>
                <c:pt idx="1">
                  <c:v>736801.8</c:v>
                </c:pt>
                <c:pt idx="2">
                  <c:v>282917.28999999998</c:v>
                </c:pt>
              </c:numCache>
            </c:numRef>
          </c:val>
          <c:extLst xmlns:c16r2="http://schemas.microsoft.com/office/drawing/2015/06/chart">
            <c:ext xmlns:c16="http://schemas.microsoft.com/office/drawing/2014/chart" uri="{C3380CC4-5D6E-409C-BE32-E72D297353CC}">
              <c16:uniqueId val="{00000002-7E96-4015-ABD3-7C2477D3F6CE}"/>
            </c:ext>
          </c:extLst>
        </c:ser>
        <c:dLbls>
          <c:showLegendKey val="0"/>
          <c:showVal val="0"/>
          <c:showCatName val="0"/>
          <c:showSerName val="0"/>
          <c:showPercent val="0"/>
          <c:showBubbleSize val="0"/>
        </c:dLbls>
        <c:gapWidth val="90"/>
        <c:shape val="box"/>
        <c:axId val="11132864"/>
        <c:axId val="11133256"/>
        <c:axId val="0"/>
      </c:bar3DChart>
      <c:catAx>
        <c:axId val="111328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3256"/>
        <c:crosses val="autoZero"/>
        <c:auto val="1"/>
        <c:lblAlgn val="ctr"/>
        <c:lblOffset val="100"/>
        <c:noMultiLvlLbl val="0"/>
      </c:catAx>
      <c:valAx>
        <c:axId val="11133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GT"/>
                  <a:t>Cifras en quetzales</a:t>
                </a:r>
              </a:p>
            </c:rich>
          </c:tx>
          <c:layout>
            <c:manualLayout>
              <c:xMode val="edge"/>
              <c:yMode val="edge"/>
              <c:x val="2.7894008915979512E-2"/>
              <c:y val="0.267930154564012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28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a:t>Ejecución presupuestaria</a:t>
            </a:r>
            <a:br>
              <a:rPr lang="es-GT"/>
            </a:br>
            <a:r>
              <a:rPr lang="es-GT"/>
              <a:t>Grupo</a:t>
            </a:r>
            <a:r>
              <a:rPr lang="es-GT" baseline="0"/>
              <a:t> de Gasto 0: Servicios Personales</a:t>
            </a:r>
            <a:br>
              <a:rPr lang="es-GT" baseline="0"/>
            </a:br>
            <a:endParaRPr lang="es-GT"/>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0"/>
          <c:order val="0"/>
          <c:tx>
            <c:strRef>
              <c:f>'[1. Ejecución por Grupo de Gasto CPCC 1er Cuatrimestre 2023.xlsx]EJEC x GRUPO DE GASTO'!$E$6:$H$6</c:f>
              <c:strCache>
                <c:ptCount val="4"/>
                <c:pt idx="0">
                  <c:v>Asignado</c:v>
                </c:pt>
                <c:pt idx="1">
                  <c:v>Vigente</c:v>
                </c:pt>
                <c:pt idx="2">
                  <c:v>Ejecutado</c:v>
                </c:pt>
                <c:pt idx="3">
                  <c:v>Saldo</c:v>
                </c:pt>
              </c:strCache>
            </c:strRef>
          </c:tx>
          <c:spPr>
            <a:solidFill>
              <a:srgbClr val="04B5B3"/>
            </a:solidFill>
            <a:ln>
              <a:solidFill>
                <a:sysClr val="windowText" lastClr="000000"/>
              </a:solidFill>
            </a:ln>
            <a:effectLst/>
          </c:spPr>
          <c:invertIfNegative val="0"/>
          <c:dPt>
            <c:idx val="0"/>
            <c:invertIfNegative val="0"/>
            <c:bubble3D val="0"/>
            <c:spPr>
              <a:solidFill>
                <a:srgbClr val="002E91"/>
              </a:solidFill>
              <a:ln>
                <a:solidFill>
                  <a:sysClr val="windowText" lastClr="000000"/>
                </a:solidFill>
              </a:ln>
              <a:effectLst/>
            </c:spPr>
            <c:extLst xmlns:c16r2="http://schemas.microsoft.com/office/drawing/2015/06/chart">
              <c:ext xmlns:c16="http://schemas.microsoft.com/office/drawing/2014/chart" uri="{C3380CC4-5D6E-409C-BE32-E72D297353CC}">
                <c16:uniqueId val="{00000001-CA9E-45A8-9B09-8DFF63A523DA}"/>
              </c:ext>
            </c:extLst>
          </c:dPt>
          <c:dPt>
            <c:idx val="2"/>
            <c:invertIfNegative val="0"/>
            <c:bubble3D val="0"/>
            <c:spPr>
              <a:solidFill>
                <a:srgbClr val="F1CAA2"/>
              </a:solidFill>
              <a:ln>
                <a:solidFill>
                  <a:sysClr val="windowText" lastClr="000000"/>
                </a:solidFill>
              </a:ln>
              <a:effectLst/>
            </c:spPr>
            <c:extLst xmlns:c16r2="http://schemas.microsoft.com/office/drawing/2015/06/chart">
              <c:ext xmlns:c16="http://schemas.microsoft.com/office/drawing/2014/chart" uri="{C3380CC4-5D6E-409C-BE32-E72D297353CC}">
                <c16:uniqueId val="{00000005-F5E6-4613-B5CE-0D155EA27FA4}"/>
              </c:ext>
            </c:extLst>
          </c:dPt>
          <c:dPt>
            <c:idx val="3"/>
            <c:invertIfNegative val="0"/>
            <c:bubble3D val="0"/>
            <c:spPr>
              <a:solidFill>
                <a:srgbClr val="92D050"/>
              </a:solidFill>
              <a:ln>
                <a:solidFill>
                  <a:sysClr val="windowText" lastClr="000000"/>
                </a:solidFill>
              </a:ln>
              <a:effectLst/>
            </c:spPr>
            <c:extLst xmlns:c16r2="http://schemas.microsoft.com/office/drawing/2015/06/chart">
              <c:ext xmlns:c16="http://schemas.microsoft.com/office/drawing/2014/chart" uri="{C3380CC4-5D6E-409C-BE32-E72D297353CC}">
                <c16:uniqueId val="{00000005-CA9E-45A8-9B09-8DFF63A523D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 Ejecución por Grupo de Gasto CPCC 1er Cuatrimestre 2023.xlsx]EJEC x GRUPO DE GASTO'!$E$6:$H$6</c:f>
              <c:strCache>
                <c:ptCount val="4"/>
                <c:pt idx="0">
                  <c:v>Asignado</c:v>
                </c:pt>
                <c:pt idx="1">
                  <c:v>Vigente</c:v>
                </c:pt>
                <c:pt idx="2">
                  <c:v>Ejecutado</c:v>
                </c:pt>
                <c:pt idx="3">
                  <c:v>Saldo</c:v>
                </c:pt>
              </c:strCache>
            </c:strRef>
          </c:cat>
          <c:val>
            <c:numRef>
              <c:f>'[1. Ejecución por Grupo de Gasto CPCC 1er Cuatrimestre 2023.xlsx]EJEC x GRUPO DE GASTO'!$E$8:$H$8</c:f>
              <c:numCache>
                <c:formatCode>#,##0.00</c:formatCode>
                <c:ptCount val="4"/>
                <c:pt idx="0">
                  <c:v>2540370</c:v>
                </c:pt>
                <c:pt idx="1">
                  <c:v>2540370</c:v>
                </c:pt>
                <c:pt idx="2">
                  <c:v>773857.81</c:v>
                </c:pt>
                <c:pt idx="3">
                  <c:v>1766512.19</c:v>
                </c:pt>
              </c:numCache>
            </c:numRef>
          </c:val>
          <c:extLst xmlns:c16r2="http://schemas.microsoft.com/office/drawing/2015/06/chart">
            <c:ext xmlns:c16="http://schemas.microsoft.com/office/drawing/2014/chart" uri="{C3380CC4-5D6E-409C-BE32-E72D297353CC}">
              <c16:uniqueId val="{00000000-169D-4085-B73C-B36888825415}"/>
            </c:ext>
          </c:extLst>
        </c:ser>
        <c:dLbls>
          <c:showLegendKey val="0"/>
          <c:showVal val="0"/>
          <c:showCatName val="0"/>
          <c:showSerName val="0"/>
          <c:showPercent val="0"/>
          <c:showBubbleSize val="0"/>
        </c:dLbls>
        <c:gapWidth val="90"/>
        <c:overlap val="-27"/>
        <c:axId val="11133648"/>
        <c:axId val="11131688"/>
      </c:barChart>
      <c:catAx>
        <c:axId val="111336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1688"/>
        <c:crosses val="autoZero"/>
        <c:auto val="1"/>
        <c:lblAlgn val="ctr"/>
        <c:lblOffset val="100"/>
        <c:noMultiLvlLbl val="0"/>
      </c:catAx>
      <c:valAx>
        <c:axId val="11131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GT"/>
                  <a:t>Cifras en quetzales</a:t>
                </a:r>
              </a:p>
            </c:rich>
          </c:tx>
          <c:layout>
            <c:manualLayout>
              <c:xMode val="edge"/>
              <c:yMode val="edge"/>
              <c:x val="2.7894008915979512E-2"/>
              <c:y val="0.267930154564012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3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a:t>Ejecución presupuestaria de la inversión</a:t>
            </a:r>
            <a:br>
              <a:rPr lang="es-GT"/>
            </a:br>
            <a:r>
              <a:rPr lang="es-GT"/>
              <a:t> </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2"/>
          <c:order val="0"/>
          <c:tx>
            <c:strRef>
              <c:f>'[2. Ejecución por Tipo de Gasto CPCC 1er Cuatrimestre 2023.xlsx]EJEC x TIPO DE GASTO'!$D$8</c:f>
              <c:strCache>
                <c:ptCount val="1"/>
                <c:pt idx="0">
                  <c:v>INVERSIÓN</c:v>
                </c:pt>
              </c:strCache>
            </c:strRef>
          </c:tx>
          <c:spPr>
            <a:solidFill>
              <a:schemeClr val="accent3"/>
            </a:solidFill>
            <a:ln>
              <a:solidFill>
                <a:sysClr val="windowText" lastClr="000000"/>
              </a:solidFill>
            </a:ln>
            <a:effectLst/>
          </c:spPr>
          <c:invertIfNegative val="0"/>
          <c:dPt>
            <c:idx val="0"/>
            <c:invertIfNegative val="0"/>
            <c:bubble3D val="0"/>
            <c:spPr>
              <a:solidFill>
                <a:srgbClr val="04B5B3"/>
              </a:solidFill>
              <a:ln>
                <a:solidFill>
                  <a:sysClr val="windowText" lastClr="000000"/>
                </a:solidFill>
              </a:ln>
              <a:effectLst/>
            </c:spPr>
            <c:extLst xmlns:c16r2="http://schemas.microsoft.com/office/drawing/2015/06/chart">
              <c:ext xmlns:c16="http://schemas.microsoft.com/office/drawing/2014/chart" uri="{C3380CC4-5D6E-409C-BE32-E72D297353CC}">
                <c16:uniqueId val="{00000001-EF22-4123-8BF8-0BA7DCE5001A}"/>
              </c:ext>
            </c:extLst>
          </c:dPt>
          <c:dPt>
            <c:idx val="1"/>
            <c:invertIfNegative val="0"/>
            <c:bubble3D val="0"/>
            <c:spPr>
              <a:solidFill>
                <a:srgbClr val="F1CAA2"/>
              </a:solidFill>
              <a:ln>
                <a:solidFill>
                  <a:sysClr val="windowText" lastClr="000000"/>
                </a:solidFill>
              </a:ln>
              <a:effectLst/>
            </c:spPr>
            <c:extLst xmlns:c16r2="http://schemas.microsoft.com/office/drawing/2015/06/chart">
              <c:ext xmlns:c16="http://schemas.microsoft.com/office/drawing/2014/chart" uri="{C3380CC4-5D6E-409C-BE32-E72D297353CC}">
                <c16:uniqueId val="{00000002-EF22-4123-8BF8-0BA7DCE5001A}"/>
              </c:ext>
            </c:extLst>
          </c:dPt>
          <c:dPt>
            <c:idx val="2"/>
            <c:invertIfNegative val="0"/>
            <c:bubble3D val="0"/>
            <c:spPr>
              <a:solidFill>
                <a:srgbClr val="92D050"/>
              </a:solidFill>
              <a:ln>
                <a:solidFill>
                  <a:sysClr val="windowText" lastClr="000000"/>
                </a:solidFill>
              </a:ln>
              <a:effectLst/>
            </c:spPr>
            <c:extLst xmlns:c16r2="http://schemas.microsoft.com/office/drawing/2015/06/chart">
              <c:ext xmlns:c16="http://schemas.microsoft.com/office/drawing/2014/chart" uri="{C3380CC4-5D6E-409C-BE32-E72D297353CC}">
                <c16:uniqueId val="{00000003-EF22-4123-8BF8-0BA7DCE5001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'\\172.31.23.58\Users\aseplani47\Desktop\CAEE\INFORMES\2022\CUATRIMESTRAL CPCC\I Informe Cuatrimestral CPCC 2022\GOBERNACIONES\Exceles Gobernaciones\[216 El Progreso 2022 I CPCC.xlsx]Subgrupo Tipo de gasto'!$C$4:$E$4</c:f>
              <c:strCache>
                <c:ptCount val="3"/>
                <c:pt idx="0">
                  <c:v>Vigente</c:v>
                </c:pt>
                <c:pt idx="1">
                  <c:v>Ejecutado </c:v>
                </c:pt>
                <c:pt idx="2">
                  <c:v>Saldo</c:v>
                </c:pt>
              </c:strCache>
            </c:strRef>
          </c:cat>
          <c:val>
            <c:numRef>
              <c:f>'[2. Ejecución por Tipo de Gasto CPCC 1er Cuatrimestre 2023.xlsx]EJEC x TIPO DE GASTO'!$F$8:$H$8</c:f>
              <c:numCache>
                <c:formatCode>#,##0.00</c:formatCode>
                <c:ptCount val="3"/>
                <c:pt idx="0">
                  <c:v>92760</c:v>
                </c:pt>
                <c:pt idx="1">
                  <c:v>14233</c:v>
                </c:pt>
                <c:pt idx="2">
                  <c:v>78527</c:v>
                </c:pt>
              </c:numCache>
            </c:numRef>
          </c:val>
          <c:extLst xmlns:c16r2="http://schemas.microsoft.com/office/drawing/2015/06/chart">
            <c:ext xmlns:c16="http://schemas.microsoft.com/office/drawing/2014/chart" uri="{C3380CC4-5D6E-409C-BE32-E72D297353CC}">
              <c16:uniqueId val="{00000002-4154-4E98-8A76-2B3BBF59E26C}"/>
            </c:ext>
          </c:extLst>
        </c:ser>
        <c:dLbls>
          <c:showLegendKey val="0"/>
          <c:showVal val="0"/>
          <c:showCatName val="0"/>
          <c:showSerName val="0"/>
          <c:showPercent val="0"/>
          <c:showBubbleSize val="0"/>
        </c:dLbls>
        <c:gapWidth val="150"/>
        <c:axId val="11130512"/>
        <c:axId val="11130904"/>
        <c:extLst xmlns:c16r2="http://schemas.microsoft.com/office/drawing/2015/06/chart"/>
      </c:barChart>
      <c:catAx>
        <c:axId val="11130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0904"/>
        <c:crosses val="autoZero"/>
        <c:auto val="1"/>
        <c:lblAlgn val="ctr"/>
        <c:lblOffset val="100"/>
        <c:noMultiLvlLbl val="0"/>
      </c:catAx>
      <c:valAx>
        <c:axId val="11130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GT"/>
                  <a:t>Cifras en Quetzales</a:t>
                </a:r>
              </a:p>
            </c:rich>
          </c:tx>
          <c:layout>
            <c:manualLayout>
              <c:xMode val="edge"/>
              <c:yMode val="edge"/>
              <c:x val="1.8927447929232871E-2"/>
              <c:y val="0.2516834670153725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0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Ejecución presupuestaria por finalidad</a:t>
            </a:r>
            <a:endParaRPr lang="es-GT"/>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barChart>
        <c:barDir val="col"/>
        <c:grouping val="clustered"/>
        <c:varyColors val="0"/>
        <c:ser>
          <c:idx val="1"/>
          <c:order val="0"/>
          <c:tx>
            <c:strRef>
              <c:f>'[3. Ejecución por Finalidad del Gasto CPCC 1er Cuatrimestre 2023.xlsx]EJEC x FINALIDAD DEL GASTO'!$F$7</c:f>
              <c:strCache>
                <c:ptCount val="1"/>
                <c:pt idx="0">
                  <c:v>Vigente</c:v>
                </c:pt>
              </c:strCache>
            </c:strRef>
          </c:tx>
          <c:spPr>
            <a:solidFill>
              <a:srgbClr val="04B5B3"/>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 Ejecución por Finalidad del Gasto CPCC 1er Cuatrimestre 2023.xlsx]EJEC x FINALIDAD DEL GASTO'!$D$9</c:f>
              <c:strCache>
                <c:ptCount val="1"/>
                <c:pt idx="0">
                  <c:v>Servicios Públicos Generales</c:v>
                </c:pt>
              </c:strCache>
            </c:strRef>
          </c:cat>
          <c:val>
            <c:numRef>
              <c:f>'[3. Ejecución por Finalidad del Gasto CPCC 1er Cuatrimestre 2023.xlsx]EJEC x FINALIDAD DEL GASTO'!$F$9</c:f>
              <c:numCache>
                <c:formatCode>#,##0.00</c:formatCode>
                <c:ptCount val="1"/>
                <c:pt idx="0">
                  <c:v>4010180</c:v>
                </c:pt>
              </c:numCache>
            </c:numRef>
          </c:val>
          <c:extLst xmlns:c16r2="http://schemas.microsoft.com/office/drawing/2015/06/chart">
            <c:ext xmlns:c16="http://schemas.microsoft.com/office/drawing/2014/chart" uri="{C3380CC4-5D6E-409C-BE32-E72D297353CC}">
              <c16:uniqueId val="{00000000-3D5C-4E4D-85EF-086FE9BB0C1E}"/>
            </c:ext>
          </c:extLst>
        </c:ser>
        <c:ser>
          <c:idx val="2"/>
          <c:order val="1"/>
          <c:tx>
            <c:strRef>
              <c:f>'[3. Ejecución por Finalidad del Gasto CPCC 1er Cuatrimestre 2023.xlsx]EJEC x FINALIDAD DEL GASTO'!$G$7</c:f>
              <c:strCache>
                <c:ptCount val="1"/>
                <c:pt idx="0">
                  <c:v>Ejecutado</c:v>
                </c:pt>
              </c:strCache>
            </c:strRef>
          </c:tx>
          <c:spPr>
            <a:solidFill>
              <a:srgbClr val="F1CAA2"/>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 Ejecución por Finalidad del Gasto CPCC 1er Cuatrimestre 2023.xlsx]EJEC x FINALIDAD DEL GASTO'!$D$9</c:f>
              <c:strCache>
                <c:ptCount val="1"/>
                <c:pt idx="0">
                  <c:v>Servicios Públicos Generales</c:v>
                </c:pt>
              </c:strCache>
            </c:strRef>
          </c:cat>
          <c:val>
            <c:numRef>
              <c:f>'[3. Ejecución por Finalidad del Gasto CPCC 1er Cuatrimestre 2023.xlsx]EJEC x FINALIDAD DEL GASTO'!$G$9</c:f>
              <c:numCache>
                <c:formatCode>#,##0.00</c:formatCode>
                <c:ptCount val="1"/>
                <c:pt idx="0">
                  <c:v>1145421.72</c:v>
                </c:pt>
              </c:numCache>
            </c:numRef>
          </c:val>
          <c:extLst xmlns:c16r2="http://schemas.microsoft.com/office/drawing/2015/06/chart">
            <c:ext xmlns:c16="http://schemas.microsoft.com/office/drawing/2014/chart" uri="{C3380CC4-5D6E-409C-BE32-E72D297353CC}">
              <c16:uniqueId val="{00000001-3D5C-4E4D-85EF-086FE9BB0C1E}"/>
            </c:ext>
          </c:extLst>
        </c:ser>
        <c:ser>
          <c:idx val="0"/>
          <c:order val="2"/>
          <c:tx>
            <c:strRef>
              <c:f>'[3. Ejecución por Finalidad del Gasto CPCC 1er Cuatrimestre 2023.xlsx]EJEC x FINALIDAD DEL GASTO'!$H$7</c:f>
              <c:strCache>
                <c:ptCount val="1"/>
                <c:pt idx="0">
                  <c:v>Saldo por Ejecutar</c:v>
                </c:pt>
              </c:strCache>
            </c:strRef>
          </c:tx>
          <c:spPr>
            <a:solidFill>
              <a:srgbClr val="92D050"/>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 Ejecución por Finalidad del Gasto CPCC 1er Cuatrimestre 2023.xlsx]EJEC x FINALIDAD DEL GASTO'!$D$9</c:f>
              <c:strCache>
                <c:ptCount val="1"/>
                <c:pt idx="0">
                  <c:v>Servicios Públicos Generales</c:v>
                </c:pt>
              </c:strCache>
            </c:strRef>
          </c:cat>
          <c:val>
            <c:numRef>
              <c:f>'[3. Ejecución por Finalidad del Gasto CPCC 1er Cuatrimestre 2023.xlsx]EJEC x FINALIDAD DEL GASTO'!$H$9</c:f>
              <c:numCache>
                <c:formatCode>#,##0.00</c:formatCode>
                <c:ptCount val="1"/>
                <c:pt idx="0">
                  <c:v>2864758.2800000003</c:v>
                </c:pt>
              </c:numCache>
            </c:numRef>
          </c:val>
          <c:extLst xmlns:c16r2="http://schemas.microsoft.com/office/drawing/2015/06/chart">
            <c:ext xmlns:c16="http://schemas.microsoft.com/office/drawing/2014/chart" uri="{C3380CC4-5D6E-409C-BE32-E72D297353CC}">
              <c16:uniqueId val="{00000002-3D5C-4E4D-85EF-086FE9BB0C1E}"/>
            </c:ext>
          </c:extLst>
        </c:ser>
        <c:dLbls>
          <c:showLegendKey val="0"/>
          <c:showVal val="0"/>
          <c:showCatName val="0"/>
          <c:showSerName val="0"/>
          <c:showPercent val="0"/>
          <c:showBubbleSize val="0"/>
        </c:dLbls>
        <c:gapWidth val="219"/>
        <c:overlap val="-27"/>
        <c:axId val="11132472"/>
        <c:axId val="332212896"/>
      </c:barChart>
      <c:catAx>
        <c:axId val="1113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32212896"/>
        <c:crosses val="autoZero"/>
        <c:auto val="1"/>
        <c:lblAlgn val="ctr"/>
        <c:lblOffset val="100"/>
        <c:noMultiLvlLbl val="0"/>
      </c:catAx>
      <c:valAx>
        <c:axId val="332212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132472"/>
        <c:crosses val="autoZero"/>
        <c:crossBetween val="between"/>
        <c:majorUnit val="100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4C57AB-1E0B-461B-B130-AAE936DDB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1352</Words>
  <Characters>7440</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Jose Zuniga Mendez</dc:creator>
  <cp:keywords/>
  <dc:description/>
  <cp:lastModifiedBy>Usuario de Windows</cp:lastModifiedBy>
  <cp:revision>3</cp:revision>
  <cp:lastPrinted>2023-05-04T18:18:00Z</cp:lastPrinted>
  <dcterms:created xsi:type="dcterms:W3CDTF">2023-05-04T18:17:00Z</dcterms:created>
  <dcterms:modified xsi:type="dcterms:W3CDTF">2023-05-04T18:18:00Z</dcterms:modified>
</cp:coreProperties>
</file>